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1F6FB2"/>
          <w:spacing w:val="40"/>
          <w:sz w:val="18"/>
          <w:szCs w:val="18"/>
        </w:rPr>
        <w:t xml:space="preserve">DOKUMENT ROBOCZY — DO WYPEŁNIENIA I ZATWIERDZENIA</w:t>
      </w:r>
    </w:p>
    <w:p>
      <w:pPr>
        <w:spacing w:after="60"/>
      </w:pPr>
      <w:r>
        <w:rPr>
          <w:rFonts w:ascii="Calibri" w:cs="Calibri" w:eastAsia="Calibri" w:hAnsi="Calibri"/>
          <w:b/>
          <w:bCs/>
          <w:color w:val="1E2761"/>
          <w:sz w:val="32"/>
          <w:szCs w:val="32"/>
        </w:rPr>
        <w:t xml:space="preserve">Formularz samoidentyfikacji podmiotu — UoKSC / NIS2</w:t>
      </w:r>
    </w:p>
    <w:p>
      <w:pPr>
        <w:pBdr>
          <w:bottom w:val="single" w:color="1F6FB2" w:sz="12" w:space="6"/>
        </w:pBdr>
        <w:spacing w:after="220"/>
      </w:pPr>
      <w:r>
        <w:rPr>
          <w:rFonts w:ascii="Calibri" w:cs="Calibri" w:eastAsia="Calibri" w:hAnsi="Calibri"/>
          <w:i/>
          <w:iCs/>
          <w:color w:val="5A6B7C"/>
          <w:sz w:val="20"/>
          <w:szCs w:val="20"/>
        </w:rPr>
        <w:t xml:space="preserve">Ustalenie i udokumentowanie statusu podmiotu kluczowego albo ważnego · dokument do wypełnienia i zatwierdzenia · LT MASTERY</w:t>
      </w:r>
    </w:p>
    <w:tbl>
      <w:tblPr>
        <w:tblW w:type="dxa" w:w="9360"/>
        <w:tblBorders>
          <w:top w:val="single" w:color="C6D2DE" w:sz="4"/>
          <w:left w:val="single" w:color="C6D2DE" w:sz="4"/>
          <w:bottom w:val="single" w:color="C6D2DE" w:sz="4"/>
          <w:right w:val="single" w:color="C6D2DE" w:sz="4"/>
          <w:insideH w:val="single" w:color="C6D2DE" w:sz="4"/>
          <w:insideV w:val="single" w:color="C6D2DE" w:sz="4"/>
        </w:tblBorders>
      </w:tblPr>
      <w:tblGrid>
        <w:gridCol w:w="2300"/>
        <w:gridCol w:w="2380"/>
        <w:gridCol w:w="2300"/>
        <w:gridCol w:w="2380"/>
      </w:tblGrid>
      <w:tr>
        <w:trPr>
          <w:cantSplit/>
          <w:trHeight w:val="620" w:hRule="atLeast"/>
        </w:trPr>
        <w:tc>
          <w:tcPr>
            <w:tcW w:type="dxa" w:w="2300"/>
            <w:tcMar>
              <w:top w:type="dxa" w:w="70"/>
              <w:left w:type="dxa" w:w="100"/>
              <w:bottom w:type="dxa" w:w="70"/>
              <w:right w:type="dxa" w:w="100"/>
            </w:tcMar>
            <w:vAlign w:val="center"/>
          </w:tcPr>
          <w:p>
            <w:pPr>
              <w:spacing w:after="0"/>
            </w:pPr>
            <w:r>
              <w:rPr>
                <w:rFonts w:ascii="Calibri" w:cs="Calibri" w:eastAsia="Calibri" w:hAnsi="Calibri"/>
                <w:b/>
                <w:bCs/>
                <w:color w:val="333333"/>
                <w:sz w:val="20"/>
                <w:szCs w:val="20"/>
              </w:rPr>
              <w:t xml:space="preserve">Nazwa (firma) podmiotu</w:t>
            </w:r>
          </w:p>
        </w:tc>
        <w:tc>
          <w:tcPr>
            <w:tcW w:type="dxa" w:w="2380"/>
            <w:tcMar>
              <w:top w:type="dxa" w:w="70"/>
              <w:left w:type="dxa" w:w="100"/>
              <w:bottom w:type="dxa" w:w="70"/>
              <w:right w:type="dxa" w:w="100"/>
            </w:tcMar>
            <w:vAlign w:val="center"/>
          </w:tcPr>
          <w:p>
            <w:pPr>
              <w:spacing w:after="0"/>
            </w:pPr>
            <w:r>
              <w:rPr>
                <w:rFonts w:ascii="Calibri" w:cs="Calibri" w:eastAsia="Calibri" w:hAnsi="Calibri"/>
                <w:b w:val="false"/>
                <w:bCs w:val="false"/>
                <w:color w:val="333333"/>
                <w:sz w:val="20"/>
                <w:szCs w:val="20"/>
              </w:rPr>
              <w:t xml:space="preserve"/>
            </w:r>
          </w:p>
        </w:tc>
        <w:tc>
          <w:tcPr>
            <w:tcW w:type="dxa" w:w="2300"/>
            <w:tcMar>
              <w:top w:type="dxa" w:w="70"/>
              <w:left w:type="dxa" w:w="100"/>
              <w:bottom w:type="dxa" w:w="70"/>
              <w:right w:type="dxa" w:w="100"/>
            </w:tcMar>
            <w:vAlign w:val="center"/>
          </w:tcPr>
          <w:p>
            <w:pPr>
              <w:spacing w:after="0"/>
            </w:pPr>
            <w:r>
              <w:rPr>
                <w:rFonts w:ascii="Calibri" w:cs="Calibri" w:eastAsia="Calibri" w:hAnsi="Calibri"/>
                <w:b w:val="false"/>
                <w:bCs w:val="false"/>
                <w:color w:val="333333"/>
                <w:sz w:val="20"/>
                <w:szCs w:val="20"/>
              </w:rPr>
              <w:t xml:space="preserve">NIP</w:t>
            </w:r>
          </w:p>
        </w:tc>
        <w:tc>
          <w:tcPr>
            <w:tcW w:type="dxa" w:w="2380"/>
            <w:tcMar>
              <w:top w:type="dxa" w:w="70"/>
              <w:left w:type="dxa" w:w="100"/>
              <w:bottom w:type="dxa" w:w="70"/>
              <w:right w:type="dxa" w:w="100"/>
            </w:tcMar>
            <w:vAlign w:val="center"/>
          </w:tcPr>
          <w:p>
            <w:pPr>
              <w:spacing w:after="0"/>
            </w:pPr>
            <w:r>
              <w:rPr>
                <w:rFonts w:ascii="Calibri" w:cs="Calibri" w:eastAsia="Calibri" w:hAnsi="Calibri"/>
                <w:b w:val="false"/>
                <w:bCs w:val="false"/>
                <w:color w:val="333333"/>
                <w:sz w:val="20"/>
                <w:szCs w:val="20"/>
              </w:rPr>
              <w:t xml:space="preserve"/>
            </w:r>
          </w:p>
        </w:tc>
      </w:tr>
      <w:tr>
        <w:trPr>
          <w:cantSplit/>
          <w:trHeight w:val="620" w:hRule="atLeast"/>
        </w:trPr>
        <w:tc>
          <w:tcPr>
            <w:tcW w:type="dxa" w:w="2300"/>
            <w:shd w:fill="F2F5F8" w:color="auto" w:val="clear"/>
            <w:tcMar>
              <w:top w:type="dxa" w:w="70"/>
              <w:left w:type="dxa" w:w="100"/>
              <w:bottom w:type="dxa" w:w="70"/>
              <w:right w:type="dxa" w:w="100"/>
            </w:tcMar>
            <w:vAlign w:val="center"/>
          </w:tcPr>
          <w:p>
            <w:pPr>
              <w:spacing w:after="0"/>
            </w:pPr>
            <w:r>
              <w:rPr>
                <w:rFonts w:ascii="Calibri" w:cs="Calibri" w:eastAsia="Calibri" w:hAnsi="Calibri"/>
                <w:b/>
                <w:bCs/>
                <w:color w:val="333333"/>
                <w:sz w:val="20"/>
                <w:szCs w:val="20"/>
              </w:rPr>
              <w:t xml:space="preserve">Numer KRS / CEIDG</w:t>
            </w:r>
          </w:p>
        </w:tc>
        <w:tc>
          <w:tcPr>
            <w:tcW w:type="dxa" w:w="2380"/>
            <w:shd w:fill="F2F5F8" w:color="auto" w:val="clear"/>
            <w:tcMar>
              <w:top w:type="dxa" w:w="70"/>
              <w:left w:type="dxa" w:w="100"/>
              <w:bottom w:type="dxa" w:w="70"/>
              <w:right w:type="dxa" w:w="100"/>
            </w:tcMar>
            <w:vAlign w:val="center"/>
          </w:tcPr>
          <w:p>
            <w:pPr>
              <w:spacing w:after="0"/>
            </w:pPr>
            <w:r>
              <w:rPr>
                <w:rFonts w:ascii="Calibri" w:cs="Calibri" w:eastAsia="Calibri" w:hAnsi="Calibri"/>
                <w:b w:val="false"/>
                <w:bCs w:val="false"/>
                <w:color w:val="333333"/>
                <w:sz w:val="20"/>
                <w:szCs w:val="20"/>
              </w:rPr>
              <w:t xml:space="preserve"/>
            </w:r>
          </w:p>
        </w:tc>
        <w:tc>
          <w:tcPr>
            <w:tcW w:type="dxa" w:w="2300"/>
            <w:shd w:fill="F2F5F8" w:color="auto" w:val="clear"/>
            <w:tcMar>
              <w:top w:type="dxa" w:w="70"/>
              <w:left w:type="dxa" w:w="100"/>
              <w:bottom w:type="dxa" w:w="70"/>
              <w:right w:type="dxa" w:w="100"/>
            </w:tcMar>
            <w:vAlign w:val="center"/>
          </w:tcPr>
          <w:p>
            <w:pPr>
              <w:spacing w:after="0"/>
            </w:pPr>
            <w:r>
              <w:rPr>
                <w:rFonts w:ascii="Calibri" w:cs="Calibri" w:eastAsia="Calibri" w:hAnsi="Calibri"/>
                <w:b w:val="false"/>
                <w:bCs w:val="false"/>
                <w:color w:val="333333"/>
                <w:sz w:val="20"/>
                <w:szCs w:val="20"/>
              </w:rPr>
              <w:t xml:space="preserve">REGON</w:t>
            </w:r>
          </w:p>
        </w:tc>
        <w:tc>
          <w:tcPr>
            <w:tcW w:type="dxa" w:w="2380"/>
            <w:shd w:fill="F2F5F8" w:color="auto" w:val="clear"/>
            <w:tcMar>
              <w:top w:type="dxa" w:w="70"/>
              <w:left w:type="dxa" w:w="100"/>
              <w:bottom w:type="dxa" w:w="70"/>
              <w:right w:type="dxa" w:w="100"/>
            </w:tcMar>
            <w:vAlign w:val="center"/>
          </w:tcPr>
          <w:p>
            <w:pPr>
              <w:spacing w:after="0"/>
            </w:pPr>
            <w:r>
              <w:rPr>
                <w:rFonts w:ascii="Calibri" w:cs="Calibri" w:eastAsia="Calibri" w:hAnsi="Calibri"/>
                <w:b w:val="false"/>
                <w:bCs w:val="false"/>
                <w:color w:val="333333"/>
                <w:sz w:val="20"/>
                <w:szCs w:val="20"/>
              </w:rPr>
              <w:t xml:space="preserve"/>
            </w:r>
          </w:p>
        </w:tc>
      </w:tr>
      <w:tr>
        <w:trPr>
          <w:cantSplit/>
          <w:trHeight w:val="620" w:hRule="atLeast"/>
        </w:trPr>
        <w:tc>
          <w:tcPr>
            <w:tcW w:type="dxa" w:w="2300"/>
            <w:tcMar>
              <w:top w:type="dxa" w:w="70"/>
              <w:left w:type="dxa" w:w="100"/>
              <w:bottom w:type="dxa" w:w="70"/>
              <w:right w:type="dxa" w:w="100"/>
            </w:tcMar>
            <w:vAlign w:val="center"/>
          </w:tcPr>
          <w:p>
            <w:pPr>
              <w:spacing w:after="0"/>
            </w:pPr>
            <w:r>
              <w:rPr>
                <w:rFonts w:ascii="Calibri" w:cs="Calibri" w:eastAsia="Calibri" w:hAnsi="Calibri"/>
                <w:b/>
                <w:bCs/>
                <w:color w:val="333333"/>
                <w:sz w:val="20"/>
                <w:szCs w:val="20"/>
              </w:rPr>
              <w:t xml:space="preserve">Data sporządzenia</w:t>
            </w:r>
          </w:p>
        </w:tc>
        <w:tc>
          <w:tcPr>
            <w:tcW w:type="dxa" w:w="2380"/>
            <w:tcMar>
              <w:top w:type="dxa" w:w="70"/>
              <w:left w:type="dxa" w:w="100"/>
              <w:bottom w:type="dxa" w:w="70"/>
              <w:right w:type="dxa" w:w="100"/>
            </w:tcMar>
            <w:vAlign w:val="center"/>
          </w:tcPr>
          <w:p>
            <w:pPr>
              <w:spacing w:after="0"/>
            </w:pPr>
            <w:r>
              <w:rPr>
                <w:rFonts w:ascii="Calibri" w:cs="Calibri" w:eastAsia="Calibri" w:hAnsi="Calibri"/>
                <w:b w:val="false"/>
                <w:bCs w:val="false"/>
                <w:color w:val="333333"/>
                <w:sz w:val="20"/>
                <w:szCs w:val="20"/>
              </w:rPr>
              <w:t xml:space="preserve"/>
            </w:r>
          </w:p>
        </w:tc>
        <w:tc>
          <w:tcPr>
            <w:tcW w:type="dxa" w:w="2300"/>
            <w:tcMar>
              <w:top w:type="dxa" w:w="70"/>
              <w:left w:type="dxa" w:w="100"/>
              <w:bottom w:type="dxa" w:w="70"/>
              <w:right w:type="dxa" w:w="100"/>
            </w:tcMar>
            <w:vAlign w:val="center"/>
          </w:tcPr>
          <w:p>
            <w:pPr>
              <w:spacing w:after="0"/>
            </w:pPr>
            <w:r>
              <w:rPr>
                <w:rFonts w:ascii="Calibri" w:cs="Calibri" w:eastAsia="Calibri" w:hAnsi="Calibri"/>
                <w:b w:val="false"/>
                <w:bCs w:val="false"/>
                <w:color w:val="333333"/>
                <w:sz w:val="20"/>
                <w:szCs w:val="20"/>
              </w:rPr>
              <w:t xml:space="preserve">Wersja dokumentu</w:t>
            </w:r>
          </w:p>
        </w:tc>
        <w:tc>
          <w:tcPr>
            <w:tcW w:type="dxa" w:w="2380"/>
            <w:tcMar>
              <w:top w:type="dxa" w:w="70"/>
              <w:left w:type="dxa" w:w="100"/>
              <w:bottom w:type="dxa" w:w="70"/>
              <w:right w:type="dxa" w:w="100"/>
            </w:tcMar>
            <w:vAlign w:val="center"/>
          </w:tcPr>
          <w:p>
            <w:pPr>
              <w:spacing w:after="0"/>
            </w:pPr>
            <w:r>
              <w:rPr>
                <w:rFonts w:ascii="Calibri" w:cs="Calibri" w:eastAsia="Calibri" w:hAnsi="Calibri"/>
                <w:b w:val="false"/>
                <w:bCs w:val="false"/>
                <w:color w:val="333333"/>
                <w:sz w:val="20"/>
                <w:szCs w:val="20"/>
              </w:rPr>
              <w:t xml:space="preserve"/>
            </w:r>
          </w:p>
        </w:tc>
      </w:tr>
      <w:tr>
        <w:trPr>
          <w:cantSplit/>
          <w:trHeight w:val="620" w:hRule="atLeast"/>
        </w:trPr>
        <w:tc>
          <w:tcPr>
            <w:tcW w:type="dxa" w:w="2300"/>
            <w:shd w:fill="F2F5F8" w:color="auto" w:val="clear"/>
            <w:tcMar>
              <w:top w:type="dxa" w:w="70"/>
              <w:left w:type="dxa" w:w="100"/>
              <w:bottom w:type="dxa" w:w="70"/>
              <w:right w:type="dxa" w:w="100"/>
            </w:tcMar>
            <w:vAlign w:val="center"/>
          </w:tcPr>
          <w:p>
            <w:pPr>
              <w:spacing w:after="0"/>
            </w:pPr>
            <w:r>
              <w:rPr>
                <w:rFonts w:ascii="Calibri" w:cs="Calibri" w:eastAsia="Calibri" w:hAnsi="Calibri"/>
                <w:b/>
                <w:bCs/>
                <w:color w:val="333333"/>
                <w:sz w:val="20"/>
                <w:szCs w:val="20"/>
              </w:rPr>
              <w:t xml:space="preserve">Sporządził (imię, nazwisko, stanowisko)</w:t>
            </w:r>
          </w:p>
        </w:tc>
        <w:tc>
          <w:tcPr>
            <w:tcW w:type="dxa" w:w="2380"/>
            <w:shd w:fill="F2F5F8" w:color="auto" w:val="clear"/>
            <w:tcMar>
              <w:top w:type="dxa" w:w="70"/>
              <w:left w:type="dxa" w:w="100"/>
              <w:bottom w:type="dxa" w:w="70"/>
              <w:right w:type="dxa" w:w="100"/>
            </w:tcMar>
            <w:vAlign w:val="center"/>
          </w:tcPr>
          <w:p>
            <w:pPr>
              <w:spacing w:after="0"/>
            </w:pPr>
            <w:r>
              <w:rPr>
                <w:rFonts w:ascii="Calibri" w:cs="Calibri" w:eastAsia="Calibri" w:hAnsi="Calibri"/>
                <w:b w:val="false"/>
                <w:bCs w:val="false"/>
                <w:color w:val="333333"/>
                <w:sz w:val="20"/>
                <w:szCs w:val="20"/>
              </w:rPr>
              <w:t xml:space="preserve"/>
            </w:r>
          </w:p>
        </w:tc>
        <w:tc>
          <w:tcPr>
            <w:tcW w:type="dxa" w:w="2300"/>
            <w:shd w:fill="F2F5F8" w:color="auto" w:val="clear"/>
            <w:tcMar>
              <w:top w:type="dxa" w:w="70"/>
              <w:left w:type="dxa" w:w="100"/>
              <w:bottom w:type="dxa" w:w="70"/>
              <w:right w:type="dxa" w:w="100"/>
            </w:tcMar>
            <w:vAlign w:val="center"/>
          </w:tcPr>
          <w:p>
            <w:pPr>
              <w:spacing w:after="0"/>
            </w:pPr>
            <w:r>
              <w:rPr>
                <w:rFonts w:ascii="Calibri" w:cs="Calibri" w:eastAsia="Calibri" w:hAnsi="Calibri"/>
                <w:b w:val="false"/>
                <w:bCs w:val="false"/>
                <w:color w:val="333333"/>
                <w:sz w:val="20"/>
                <w:szCs w:val="20"/>
              </w:rPr>
              <w:t xml:space="preserve">Data następnego przeglądu</w:t>
            </w:r>
          </w:p>
        </w:tc>
        <w:tc>
          <w:tcPr>
            <w:tcW w:type="dxa" w:w="2380"/>
            <w:shd w:fill="F2F5F8" w:color="auto" w:val="clear"/>
            <w:tcMar>
              <w:top w:type="dxa" w:w="70"/>
              <w:left w:type="dxa" w:w="100"/>
              <w:bottom w:type="dxa" w:w="70"/>
              <w:right w:type="dxa" w:w="100"/>
            </w:tcMar>
            <w:vAlign w:val="center"/>
          </w:tcPr>
          <w:p>
            <w:pPr>
              <w:spacing w:after="0"/>
            </w:pPr>
            <w:r>
              <w:rPr>
                <w:rFonts w:ascii="Calibri" w:cs="Calibri" w:eastAsia="Calibri" w:hAnsi="Calibri"/>
                <w:b w:val="false"/>
                <w:bCs w:val="false"/>
                <w:color w:val="333333"/>
                <w:sz w:val="20"/>
                <w:szCs w:val="20"/>
              </w:rPr>
              <w:t xml:space="preserve"/>
            </w:r>
          </w:p>
        </w:tc>
      </w:tr>
    </w:tbl>
    <w:p>
      <w:pPr>
        <w:spacing w:after="220"/>
      </w:pPr>
    </w:p>
    <w:tbl>
      <w:tblPr>
        <w:tblW w:type="dxa" w:w="9360"/>
        <w:tblBorders>
          <w:top w:val="single" w:color="1F6FB2" w:sz="8"/>
          <w:left w:val="single" w:color="1F6FB2" w:sz="8"/>
          <w:bottom w:val="single" w:color="1F6FB2" w:sz="8"/>
          <w:right w:val="single" w:color="1F6FB2" w:sz="8"/>
          <w:insideH w:val="none"/>
          <w:insideV w:val="none"/>
        </w:tblBorders>
      </w:tblPr>
      <w:tblGrid>
        <w:gridCol w:w="9360"/>
      </w:tblGrid>
      <w:tr>
        <w:trPr>
          <w:cantSplit/>
        </w:trPr>
        <w:tc>
          <w:tcPr>
            <w:tcW w:type="dxa" w:w="9360"/>
            <w:shd w:fill="E8EEF4" w:color="auto" w:val="clear"/>
            <w:tcMar>
              <w:top w:type="dxa" w:w="110"/>
              <w:left w:type="dxa" w:w="140"/>
              <w:bottom w:type="dxa" w:w="110"/>
              <w:right w:type="dxa" w:w="140"/>
            </w:tcMar>
          </w:tcPr>
          <w:p>
            <w:r>
              <w:rPr>
                <w:rFonts w:ascii="Calibri" w:cs="Calibri" w:eastAsia="Calibri" w:hAnsi="Calibri"/>
                <w:b/>
                <w:bCs/>
                <w:color w:val="1E2761"/>
                <w:sz w:val="21"/>
                <w:szCs w:val="21"/>
              </w:rPr>
              <w:t xml:space="preserve">Do czego służy ten formularz:  </w:t>
            </w:r>
            <w:r>
              <w:rPr>
                <w:rFonts w:ascii="Calibri" w:cs="Calibri" w:eastAsia="Calibri" w:hAnsi="Calibri"/>
                <w:color w:val="333333"/>
                <w:sz w:val="21"/>
                <w:szCs w:val="21"/>
              </w:rPr>
              <w:t xml:space="preserve">Do ustalenia i UDOKUMENTOWANIA, czy podmiot podlega ustawie o krajowym systemie cyberbezpieczeństwa i w jakiej kategorii. To nie jest ćwiczenie szkoleniowe — to dokument roboczy przeznaczony do wypełnienia, zatwierdzenia przez kierownika podmiotu i zachowania w dokumentacji. Wypełniony i zatwierdzony formularz jest pierwszym dowodem, o który występuje organ nadzoru, i podstawą do złożenia wniosku o wpis do wykazu.</w:t>
            </w:r>
          </w:p>
        </w:tc>
      </w:tr>
    </w:tbl>
    <w:p>
      <w:pPr>
        <w:spacing w:after="180"/>
      </w:pPr>
    </w:p>
    <w:tbl>
      <w:tblPr>
        <w:tblW w:type="dxa" w:w="9360"/>
        <w:tblBorders>
          <w:top w:val="single" w:color="C0392B" w:sz="8"/>
          <w:left w:val="single" w:color="C0392B" w:sz="8"/>
          <w:bottom w:val="single" w:color="C0392B" w:sz="8"/>
          <w:right w:val="single" w:color="C0392B" w:sz="8"/>
          <w:insideH w:val="none"/>
          <w:insideV w:val="none"/>
        </w:tblBorders>
      </w:tblPr>
      <w:tblGrid>
        <w:gridCol w:w="9360"/>
      </w:tblGrid>
      <w:tr>
        <w:trPr>
          <w:cantSplit/>
        </w:trPr>
        <w:tc>
          <w:tcPr>
            <w:tcW w:type="dxa" w:w="9360"/>
            <w:shd w:fill="FFF7DB" w:color="auto" w:val="clear"/>
            <w:tcMar>
              <w:top w:type="dxa" w:w="110"/>
              <w:left w:type="dxa" w:w="140"/>
              <w:bottom w:type="dxa" w:w="110"/>
              <w:right w:type="dxa" w:w="140"/>
            </w:tcMar>
          </w:tcPr>
          <w:p>
            <w:r>
              <w:rPr>
                <w:rFonts w:ascii="Calibri" w:cs="Calibri" w:eastAsia="Calibri" w:hAnsi="Calibri"/>
                <w:b/>
                <w:bCs/>
                <w:color w:val="1E2761"/>
                <w:sz w:val="21"/>
                <w:szCs w:val="21"/>
              </w:rPr>
              <w:t xml:space="preserve">Zasada wypełniania:  </w:t>
            </w:r>
            <w:r>
              <w:rPr>
                <w:rFonts w:ascii="Calibri" w:cs="Calibri" w:eastAsia="Calibri" w:hAnsi="Calibri"/>
                <w:color w:val="333333"/>
                <w:sz w:val="21"/>
                <w:szCs w:val="21"/>
              </w:rPr>
              <w:t xml:space="preserve">Każdą odpowiedź „TAK” trzeba oprzeć na dokumencie: numerze koncesji, zezwolenia, decyzji, wpisu do rejestru albo na danych ze sprawozdania finansowego. Odpowiedź bez wskazanego dowodu jest przypuszczeniem, nie ustaleniem. Kod PKD sam w sobie nigdy nie rozstrzyga — jest wyłącznie wskazówką, gdzie szukać.</w:t>
            </w:r>
          </w:p>
        </w:tc>
      </w:tr>
    </w:tbl>
    <w:p>
      <w:pPr>
        <w:spacing w:after="240"/>
      </w:pPr>
    </w:p>
    <w:p>
      <w:pPr>
        <w:pStyle w:val="Heading1"/>
        <w:keepNext/>
        <w:pBdr>
          <w:bottom w:val="single" w:color="1F6FB2" w:sz="8" w:space="4"/>
        </w:pBdr>
        <w:spacing w:after="150" w:before="340"/>
      </w:pPr>
      <w:r>
        <w:rPr>
          <w:rFonts w:ascii="Calibri" w:cs="Calibri" w:eastAsia="Calibri" w:hAnsi="Calibri"/>
          <w:b/>
          <w:bCs/>
          <w:color w:val="1E2761"/>
          <w:sz w:val="26"/>
          <w:szCs w:val="26"/>
        </w:rPr>
        <w:t xml:space="preserve">Krok 1. Kryterium terytorialne</w:t>
      </w:r>
    </w:p>
    <w:p>
      <w:pPr>
        <w:keepNext/>
        <w:spacing w:after="130" w:before="0"/>
      </w:pPr>
      <w:r>
        <w:rPr>
          <w:rFonts w:ascii="Calibri" w:cs="Calibri" w:eastAsia="Calibri" w:hAnsi="Calibri"/>
          <w:i/>
          <w:iCs/>
          <w:color w:val="5A6B7C"/>
          <w:sz w:val="21"/>
          <w:szCs w:val="21"/>
        </w:rPr>
        <w:t xml:space="preserve">Podstawa: art. 5a ustawy o krajowym systemie cyberbezpieczeństwa (dalej: UoKSC).</w:t>
      </w:r>
    </w:p>
    <w:tbl>
      <w:tblPr>
        <w:tblW w:type="dxa" w:w="9360"/>
        <w:tblBorders>
          <w:top w:val="single" w:color="C6D2DE" w:sz="4"/>
          <w:left w:val="single" w:color="C6D2DE" w:sz="4"/>
          <w:bottom w:val="single" w:color="C6D2DE" w:sz="4"/>
          <w:right w:val="single" w:color="C6D2DE" w:sz="4"/>
          <w:insideH w:val="single" w:color="C6D2DE" w:sz="4"/>
          <w:insideV w:val="single" w:color="C6D2DE" w:sz="4"/>
        </w:tblBorders>
      </w:tblPr>
      <w:tblGrid>
        <w:gridCol w:w="6400"/>
        <w:gridCol w:w="1400"/>
        <w:gridCol w:w="1560"/>
      </w:tblGrid>
      <w:tr>
        <w:trPr>
          <w:cantSplit/>
          <w:tblHeader/>
        </w:trPr>
        <w:tc>
          <w:tcPr>
            <w:tcW w:type="dxa" w:w="6400"/>
            <w:shd w:fill="1E276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Pytanie</w:t>
            </w:r>
          </w:p>
        </w:tc>
        <w:tc>
          <w:tcPr>
            <w:tcW w:type="dxa" w:w="1400"/>
            <w:shd w:fill="1E276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TAK / NIE</w:t>
            </w:r>
          </w:p>
        </w:tc>
        <w:tc>
          <w:tcPr>
            <w:tcW w:type="dxa" w:w="1560"/>
            <w:shd w:fill="1E276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Dowód</w:t>
            </w:r>
          </w:p>
        </w:tc>
      </w:tr>
      <w:tr>
        <w:trPr>
          <w:cantSplit/>
          <w:trHeight w:val="620" w:hRule="atLeast"/>
        </w:trPr>
        <w:tc>
          <w:tcPr>
            <w:tcW w:type="dxa" w:w="6400"/>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Podmiot ma miejsce zamieszkania albo siedzibę na terytorium Rzeczypospolitej Polskiej lub prowadzi działalność na terytorium RP</w:t>
            </w:r>
          </w:p>
        </w:tc>
        <w:tc>
          <w:tcPr>
            <w:tcW w:type="dxa" w:w="1400"/>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
            </w:r>
          </w:p>
        </w:tc>
        <w:tc>
          <w:tcPr>
            <w:tcW w:type="dxa" w:w="1560"/>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
            </w:r>
          </w:p>
        </w:tc>
      </w:tr>
    </w:tbl>
    <w:p>
      <w:pPr>
        <w:spacing w:after="150"/>
      </w:pPr>
    </w:p>
    <w:tbl>
      <w:tblPr>
        <w:tblW w:type="dxa" w:w="9360"/>
        <w:tblBorders>
          <w:top w:val="single" w:color="5A6B7C" w:sz="8"/>
          <w:left w:val="single" w:color="5A6B7C" w:sz="8"/>
          <w:bottom w:val="single" w:color="5A6B7C" w:sz="8"/>
          <w:right w:val="single" w:color="5A6B7C" w:sz="8"/>
          <w:insideH w:val="none"/>
          <w:insideV w:val="none"/>
        </w:tblBorders>
      </w:tblPr>
      <w:tblGrid>
        <w:gridCol w:w="9360"/>
      </w:tblGrid>
      <w:tr>
        <w:trPr>
          <w:cantSplit/>
        </w:trPr>
        <w:tc>
          <w:tcPr>
            <w:tcW w:type="dxa" w:w="9360"/>
            <w:shd w:fill="F2F5F8" w:color="auto" w:val="clear"/>
            <w:tcMar>
              <w:top w:type="dxa" w:w="110"/>
              <w:left w:type="dxa" w:w="140"/>
              <w:bottom w:type="dxa" w:w="110"/>
              <w:right w:type="dxa" w:w="140"/>
            </w:tcMar>
          </w:tcPr>
          <w:p>
            <w:r>
              <w:rPr>
                <w:rFonts w:ascii="Calibri" w:cs="Calibri" w:eastAsia="Calibri" w:hAnsi="Calibri"/>
                <w:b/>
                <w:bCs/>
                <w:color w:val="1E2761"/>
                <w:sz w:val="21"/>
                <w:szCs w:val="21"/>
              </w:rPr>
              <w:t xml:space="preserve">Jeżeli NIE:  </w:t>
            </w:r>
            <w:r>
              <w:rPr>
                <w:rFonts w:ascii="Calibri" w:cs="Calibri" w:eastAsia="Calibri" w:hAnsi="Calibri"/>
                <w:color w:val="333333"/>
                <w:sz w:val="21"/>
                <w:szCs w:val="21"/>
              </w:rPr>
              <w:t xml:space="preserve">Sprawdź szczególne reguły jurysdykcyjne dla dostawców usług cyfrowych i przedsiębiorców komunikacji elektronicznej z siedzibą poza RP. Dla pozostałych podmiotów odpowiedź NIE kończy analizę.</w:t>
            </w:r>
          </w:p>
        </w:tc>
      </w:tr>
    </w:tbl>
    <w:p>
      <w:pPr>
        <w:spacing w:after="220"/>
      </w:pPr>
    </w:p>
    <w:p>
      <w:pPr>
        <w:pStyle w:val="Heading1"/>
        <w:keepNext/>
        <w:pBdr>
          <w:bottom w:val="single" w:color="1F6FB2" w:sz="8" w:space="4"/>
        </w:pBdr>
        <w:spacing w:after="150" w:before="340"/>
      </w:pPr>
      <w:r>
        <w:rPr>
          <w:rFonts w:ascii="Calibri" w:cs="Calibri" w:eastAsia="Calibri" w:hAnsi="Calibri"/>
          <w:b/>
          <w:bCs/>
          <w:color w:val="1E2761"/>
          <w:sz w:val="26"/>
          <w:szCs w:val="26"/>
        </w:rPr>
        <w:t xml:space="preserve">Krok 2. Wyłączenia podmiotowe</w:t>
      </w:r>
    </w:p>
    <w:p>
      <w:pPr>
        <w:keepNext/>
        <w:spacing w:after="130" w:before="0"/>
      </w:pPr>
      <w:r>
        <w:rPr>
          <w:rFonts w:ascii="Calibri" w:cs="Calibri" w:eastAsia="Calibri" w:hAnsi="Calibri"/>
          <w:i/>
          <w:iCs/>
          <w:color w:val="5A6B7C"/>
          <w:sz w:val="21"/>
          <w:szCs w:val="21"/>
        </w:rPr>
        <w:t xml:space="preserve">Podstawa: art. 5 ust. 10 i 11 UoKSC.</w:t>
      </w:r>
    </w:p>
    <w:tbl>
      <w:tblPr>
        <w:tblW w:type="dxa" w:w="9360"/>
        <w:tblBorders>
          <w:top w:val="single" w:color="C6D2DE" w:sz="4"/>
          <w:left w:val="single" w:color="C6D2DE" w:sz="4"/>
          <w:bottom w:val="single" w:color="C6D2DE" w:sz="4"/>
          <w:right w:val="single" w:color="C6D2DE" w:sz="4"/>
          <w:insideH w:val="single" w:color="C6D2DE" w:sz="4"/>
          <w:insideV w:val="single" w:color="C6D2DE" w:sz="4"/>
        </w:tblBorders>
      </w:tblPr>
      <w:tblGrid>
        <w:gridCol w:w="6400"/>
        <w:gridCol w:w="1400"/>
        <w:gridCol w:w="1560"/>
      </w:tblGrid>
      <w:tr>
        <w:trPr>
          <w:cantSplit/>
          <w:tblHeader/>
        </w:trPr>
        <w:tc>
          <w:tcPr>
            <w:tcW w:type="dxa" w:w="6400"/>
            <w:shd w:fill="1E276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Pytanie</w:t>
            </w:r>
          </w:p>
        </w:tc>
        <w:tc>
          <w:tcPr>
            <w:tcW w:type="dxa" w:w="1400"/>
            <w:shd w:fill="1E276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TAK / NIE</w:t>
            </w:r>
          </w:p>
        </w:tc>
        <w:tc>
          <w:tcPr>
            <w:tcW w:type="dxa" w:w="1560"/>
            <w:shd w:fill="1E276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Dowód</w:t>
            </w:r>
          </w:p>
        </w:tc>
      </w:tr>
      <w:tr>
        <w:trPr>
          <w:cantSplit/>
          <w:trHeight w:val="560" w:hRule="atLeast"/>
        </w:trPr>
        <w:tc>
          <w:tcPr>
            <w:tcW w:type="dxa" w:w="6400"/>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Podmiot jest służbą specjalną w rozumieniu art. 11 ustawy o ABW oraz AW</w:t>
            </w:r>
          </w:p>
        </w:tc>
        <w:tc>
          <w:tcPr>
            <w:tcW w:type="dxa" w:w="1400"/>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
            </w:r>
          </w:p>
        </w:tc>
        <w:tc>
          <w:tcPr>
            <w:tcW w:type="dxa" w:w="1560"/>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
            </w:r>
          </w:p>
        </w:tc>
      </w:tr>
      <w:tr>
        <w:trPr>
          <w:cantSplit/>
          <w:trHeight w:val="660" w:hRule="atLeast"/>
        </w:trPr>
        <w:tc>
          <w:tcPr>
            <w:tcW w:type="dxa" w:w="640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Podmiot jest podległy Ministrowi Obrony Narodowej albo przez niego nadzorowany</w:t>
            </w:r>
          </w:p>
        </w:tc>
        <w:tc>
          <w:tcPr>
            <w:tcW w:type="dxa" w:w="140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
            </w:r>
          </w:p>
        </w:tc>
        <w:tc>
          <w:tcPr>
            <w:tcW w:type="dxa" w:w="156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
            </w:r>
          </w:p>
        </w:tc>
      </w:tr>
    </w:tbl>
    <w:p>
      <w:pPr>
        <w:spacing w:after="150"/>
      </w:pPr>
    </w:p>
    <w:tbl>
      <w:tblPr>
        <w:tblW w:type="dxa" w:w="9360"/>
        <w:tblBorders>
          <w:top w:val="single" w:color="C97A1F" w:sz="8"/>
          <w:left w:val="single" w:color="C97A1F" w:sz="8"/>
          <w:bottom w:val="single" w:color="C97A1F" w:sz="8"/>
          <w:right w:val="single" w:color="C97A1F" w:sz="8"/>
          <w:insideH w:val="none"/>
          <w:insideV w:val="none"/>
        </w:tblBorders>
      </w:tblPr>
      <w:tblGrid>
        <w:gridCol w:w="9360"/>
      </w:tblGrid>
      <w:tr>
        <w:trPr>
          <w:cantSplit/>
        </w:trPr>
        <w:tc>
          <w:tcPr>
            <w:tcW w:type="dxa" w:w="9360"/>
            <w:shd w:fill="FFF7DB" w:color="auto" w:val="clear"/>
            <w:tcMar>
              <w:top w:type="dxa" w:w="110"/>
              <w:left w:type="dxa" w:w="140"/>
              <w:bottom w:type="dxa" w:w="110"/>
              <w:right w:type="dxa" w:w="140"/>
            </w:tcMar>
          </w:tcPr>
          <w:p>
            <w:r>
              <w:rPr>
                <w:rFonts w:ascii="Calibri" w:cs="Calibri" w:eastAsia="Calibri" w:hAnsi="Calibri"/>
                <w:b/>
                <w:bCs/>
                <w:color w:val="1E2761"/>
                <w:sz w:val="21"/>
                <w:szCs w:val="21"/>
              </w:rPr>
              <w:t xml:space="preserve">Uwaga:  </w:t>
            </w:r>
            <w:r>
              <w:rPr>
                <w:rFonts w:ascii="Calibri" w:cs="Calibri" w:eastAsia="Calibri" w:hAnsi="Calibri"/>
                <w:color w:val="333333"/>
                <w:sz w:val="21"/>
                <w:szCs w:val="21"/>
              </w:rPr>
              <w:t xml:space="preserve">Odpowiedź TAK w którymkolwiek wierszu oznacza wyłączenie z kategorii podmiotu kluczowego i ważnego. Minister Obrony Narodowej wskazuje odrębną decyzją, które jednostki jemu podległe lub przez niego nadzorowane uznaje się mimo to za podmioty kluczowe albo ważne — decyzja ta nie podlega ogłoszeniu.</w:t>
            </w:r>
          </w:p>
        </w:tc>
      </w:tr>
    </w:tbl>
    <w:p>
      <w:pPr>
        <w:spacing w:after="220"/>
      </w:pPr>
    </w:p>
    <w:p>
      <w:pPr>
        <w:pStyle w:val="Heading1"/>
        <w:keepNext/>
        <w:pBdr>
          <w:bottom w:val="single" w:color="1F6FB2" w:sz="8" w:space="4"/>
        </w:pBdr>
        <w:spacing w:after="150" w:before="340"/>
      </w:pPr>
      <w:r>
        <w:rPr>
          <w:rFonts w:ascii="Calibri" w:cs="Calibri" w:eastAsia="Calibri" w:hAnsi="Calibri"/>
          <w:b/>
          <w:bCs/>
          <w:color w:val="1E2761"/>
          <w:sz w:val="26"/>
          <w:szCs w:val="26"/>
        </w:rPr>
        <w:t xml:space="preserve">Krok 3. Przynależność sektorowa</w:t>
      </w:r>
    </w:p>
    <w:p>
      <w:pPr>
        <w:keepNext/>
        <w:spacing w:after="140" w:before="0"/>
      </w:pPr>
      <w:r>
        <w:rPr>
          <w:rFonts w:ascii="Calibri" w:cs="Calibri" w:eastAsia="Calibri" w:hAnsi="Calibri"/>
          <w:color w:val="333333"/>
          <w:sz w:val="21"/>
          <w:szCs w:val="21"/>
        </w:rPr>
        <w:t xml:space="preserve">Podstawa: art. 5 ust. 1 i 2 UoKSC w związku z Załącznikiem nr 1 (sektory kluczowe) i Załącznikiem nr 2 (sektory ważne). Wypełnij wiersz dla KAŻDEGO rodzaju działalności faktycznie prowadzonej, nie tylko przeważającej.</w:t>
      </w:r>
    </w:p>
    <w:tbl>
      <w:tblPr>
        <w:tblW w:type="dxa" w:w="9360"/>
        <w:tblBorders>
          <w:top w:val="single" w:color="C6D2DE" w:sz="4"/>
          <w:left w:val="single" w:color="C6D2DE" w:sz="4"/>
          <w:bottom w:val="single" w:color="C6D2DE" w:sz="4"/>
          <w:right w:val="single" w:color="C6D2DE" w:sz="4"/>
          <w:insideH w:val="single" w:color="C6D2DE" w:sz="4"/>
          <w:insideV w:val="single" w:color="C6D2DE" w:sz="4"/>
        </w:tblBorders>
      </w:tblPr>
      <w:tblGrid>
        <w:gridCol w:w="1250"/>
        <w:gridCol w:w="2300"/>
        <w:gridCol w:w="2050"/>
        <w:gridCol w:w="3760"/>
      </w:tblGrid>
      <w:tr>
        <w:trPr>
          <w:cantSplit/>
          <w:tblHeader/>
        </w:trPr>
        <w:tc>
          <w:tcPr>
            <w:tcW w:type="dxa" w:w="1250"/>
            <w:shd w:fill="1E276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7"/>
                <w:szCs w:val="17"/>
              </w:rPr>
              <w:t xml:space="preserve">Kod PKD 2025</w:t>
            </w:r>
          </w:p>
        </w:tc>
        <w:tc>
          <w:tcPr>
            <w:tcW w:type="dxa" w:w="2300"/>
            <w:shd w:fill="1E276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7"/>
                <w:szCs w:val="17"/>
              </w:rPr>
              <w:t xml:space="preserve">Faktycznie prowadzona działalność</w:t>
            </w:r>
          </w:p>
        </w:tc>
        <w:tc>
          <w:tcPr>
            <w:tcW w:type="dxa" w:w="2050"/>
            <w:shd w:fill="1E276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7"/>
                <w:szCs w:val="17"/>
              </w:rPr>
              <w:t xml:space="preserve">Załącznik nr 1 / nr 2 / poza zakresem</w:t>
            </w:r>
          </w:p>
        </w:tc>
        <w:tc>
          <w:tcPr>
            <w:tcW w:type="dxa" w:w="3760"/>
            <w:shd w:fill="1E276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7"/>
                <w:szCs w:val="17"/>
              </w:rPr>
              <w:t xml:space="preserve">Sektor, podsektor i rodzaj podmiotu wg załącznika — oraz przesłanka materialna (koncesja, zezwolenie, wpis do rejestru, decyzja o wyznaczeniu)</w:t>
            </w:r>
          </w:p>
        </w:tc>
      </w:tr>
      <w:tr>
        <w:trPr>
          <w:cantSplit/>
          <w:trHeight w:val="760" w:hRule="atLeast"/>
        </w:trPr>
        <w:tc>
          <w:tcPr>
            <w:tcW w:type="dxa" w:w="1250"/>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
            </w:r>
          </w:p>
        </w:tc>
        <w:tc>
          <w:tcPr>
            <w:tcW w:type="dxa" w:w="2300"/>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
            </w:r>
          </w:p>
        </w:tc>
        <w:tc>
          <w:tcPr>
            <w:tcW w:type="dxa" w:w="2050"/>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
            </w:r>
          </w:p>
        </w:tc>
        <w:tc>
          <w:tcPr>
            <w:tcW w:type="dxa" w:w="3760"/>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
            </w:r>
          </w:p>
        </w:tc>
      </w:tr>
      <w:tr>
        <w:trPr>
          <w:cantSplit/>
          <w:trHeight w:val="760" w:hRule="atLeast"/>
        </w:trPr>
        <w:tc>
          <w:tcPr>
            <w:tcW w:type="dxa" w:w="125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
            </w:r>
          </w:p>
        </w:tc>
        <w:tc>
          <w:tcPr>
            <w:tcW w:type="dxa" w:w="230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
            </w:r>
          </w:p>
        </w:tc>
        <w:tc>
          <w:tcPr>
            <w:tcW w:type="dxa" w:w="205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
            </w:r>
          </w:p>
        </w:tc>
        <w:tc>
          <w:tcPr>
            <w:tcW w:type="dxa" w:w="376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
            </w:r>
          </w:p>
        </w:tc>
      </w:tr>
      <w:tr>
        <w:trPr>
          <w:cantSplit/>
          <w:trHeight w:val="760" w:hRule="atLeast"/>
        </w:trPr>
        <w:tc>
          <w:tcPr>
            <w:tcW w:type="dxa" w:w="1250"/>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
            </w:r>
          </w:p>
        </w:tc>
        <w:tc>
          <w:tcPr>
            <w:tcW w:type="dxa" w:w="2300"/>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
            </w:r>
          </w:p>
        </w:tc>
        <w:tc>
          <w:tcPr>
            <w:tcW w:type="dxa" w:w="2050"/>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
            </w:r>
          </w:p>
        </w:tc>
        <w:tc>
          <w:tcPr>
            <w:tcW w:type="dxa" w:w="3760"/>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
            </w:r>
          </w:p>
        </w:tc>
      </w:tr>
      <w:tr>
        <w:trPr>
          <w:cantSplit/>
          <w:trHeight w:val="760" w:hRule="atLeast"/>
        </w:trPr>
        <w:tc>
          <w:tcPr>
            <w:tcW w:type="dxa" w:w="125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
            </w:r>
          </w:p>
        </w:tc>
        <w:tc>
          <w:tcPr>
            <w:tcW w:type="dxa" w:w="230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
            </w:r>
          </w:p>
        </w:tc>
        <w:tc>
          <w:tcPr>
            <w:tcW w:type="dxa" w:w="205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
            </w:r>
          </w:p>
        </w:tc>
        <w:tc>
          <w:tcPr>
            <w:tcW w:type="dxa" w:w="376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
            </w:r>
          </w:p>
        </w:tc>
      </w:tr>
      <w:tr>
        <w:trPr>
          <w:cantSplit/>
          <w:trHeight w:val="760" w:hRule="atLeast"/>
        </w:trPr>
        <w:tc>
          <w:tcPr>
            <w:tcW w:type="dxa" w:w="1250"/>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
            </w:r>
          </w:p>
        </w:tc>
        <w:tc>
          <w:tcPr>
            <w:tcW w:type="dxa" w:w="2300"/>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
            </w:r>
          </w:p>
        </w:tc>
        <w:tc>
          <w:tcPr>
            <w:tcW w:type="dxa" w:w="2050"/>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
            </w:r>
          </w:p>
        </w:tc>
        <w:tc>
          <w:tcPr>
            <w:tcW w:type="dxa" w:w="3760"/>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
            </w:r>
          </w:p>
        </w:tc>
      </w:tr>
      <w:tr>
        <w:trPr>
          <w:cantSplit/>
          <w:trHeight w:val="760" w:hRule="atLeast"/>
        </w:trPr>
        <w:tc>
          <w:tcPr>
            <w:tcW w:type="dxa" w:w="125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
            </w:r>
          </w:p>
        </w:tc>
        <w:tc>
          <w:tcPr>
            <w:tcW w:type="dxa" w:w="230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
            </w:r>
          </w:p>
        </w:tc>
        <w:tc>
          <w:tcPr>
            <w:tcW w:type="dxa" w:w="205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
            </w:r>
          </w:p>
        </w:tc>
        <w:tc>
          <w:tcPr>
            <w:tcW w:type="dxa" w:w="376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
            </w:r>
          </w:p>
        </w:tc>
      </w:tr>
    </w:tbl>
    <w:p>
      <w:pPr>
        <w:spacing w:after="180"/>
      </w:pPr>
    </w:p>
    <w:tbl>
      <w:tblPr>
        <w:tblW w:type="dxa" w:w="9360"/>
        <w:tblBorders>
          <w:top w:val="single" w:color="028090" w:sz="8"/>
          <w:left w:val="single" w:color="028090" w:sz="8"/>
          <w:bottom w:val="single" w:color="028090" w:sz="8"/>
          <w:right w:val="single" w:color="028090" w:sz="8"/>
          <w:insideH w:val="none"/>
          <w:insideV w:val="none"/>
        </w:tblBorders>
      </w:tblPr>
      <w:tblGrid>
        <w:gridCol w:w="9360"/>
      </w:tblGrid>
      <w:tr>
        <w:trPr>
          <w:cantSplit/>
        </w:trPr>
        <w:tc>
          <w:tcPr>
            <w:tcW w:type="dxa" w:w="9360"/>
            <w:shd w:fill="F2F5F8" w:color="auto" w:val="clear"/>
            <w:tcMar>
              <w:top w:type="dxa" w:w="110"/>
              <w:left w:type="dxa" w:w="140"/>
              <w:bottom w:type="dxa" w:w="110"/>
              <w:right w:type="dxa" w:w="140"/>
            </w:tcMar>
          </w:tcPr>
          <w:p>
            <w:r>
              <w:rPr>
                <w:rFonts w:ascii="Calibri" w:cs="Calibri" w:eastAsia="Calibri" w:hAnsi="Calibri"/>
                <w:b/>
                <w:bCs/>
                <w:color w:val="1E2761"/>
                <w:sz w:val="21"/>
                <w:szCs w:val="21"/>
              </w:rPr>
              <w:t xml:space="preserve">Materiał pomocniczy:  </w:t>
            </w:r>
            <w:r>
              <w:rPr>
                <w:rFonts w:ascii="Calibri" w:cs="Calibri" w:eastAsia="Calibri" w:hAnsi="Calibri"/>
                <w:color w:val="333333"/>
                <w:sz w:val="21"/>
                <w:szCs w:val="21"/>
              </w:rPr>
              <w:t xml:space="preserve">Do wypełnienia kolumn 3 i 4 użyj dokumentu „Mapa PKD 2025 → Załączniki nr 1 i 2 UoKSC”. Pamiętaj o przeliczeniu kodów, jeżeli odpis z KRS został sporządzony przed 2025 rokiem — PKD 2025 zmieniło znaczenie części kodów, w szczególności całej grupy 35.1 (energia elektryczna).</w:t>
            </w:r>
          </w:p>
        </w:tc>
      </w:tr>
    </w:tbl>
    <w:p>
      <w:pPr>
        <w:spacing w:after="180"/>
      </w:pPr>
    </w:p>
    <w:tbl>
      <w:tblPr>
        <w:tblW w:type="dxa" w:w="9360"/>
        <w:tblBorders>
          <w:top w:val="single" w:color="C6D2DE" w:sz="4"/>
          <w:left w:val="single" w:color="C6D2DE" w:sz="4"/>
          <w:bottom w:val="single" w:color="C6D2DE" w:sz="4"/>
          <w:right w:val="single" w:color="C6D2DE" w:sz="4"/>
          <w:insideH w:val="single" w:color="C6D2DE" w:sz="4"/>
          <w:insideV w:val="single" w:color="C6D2DE" w:sz="4"/>
        </w:tblBorders>
      </w:tblPr>
      <w:tblGrid>
        <w:gridCol w:w="3100"/>
        <w:gridCol w:w="6260"/>
      </w:tblGrid>
      <w:tr>
        <w:trPr>
          <w:cantSplit/>
          <w:trHeight w:val="560" w:hRule="atLeast"/>
        </w:trPr>
        <w:tc>
          <w:tcPr>
            <w:tcW w:type="dxa" w:w="3100"/>
            <w:shd w:fill="E8EEF4" w:color="auto" w:val="clear"/>
            <w:tcMar>
              <w:top w:type="dxa" w:w="70"/>
              <w:left w:type="dxa" w:w="100"/>
              <w:bottom w:type="dxa" w:w="70"/>
              <w:right w:type="dxa" w:w="100"/>
            </w:tcMar>
            <w:vAlign w:val="center"/>
          </w:tcPr>
          <w:p>
            <w:pPr>
              <w:spacing w:after="0"/>
            </w:pPr>
            <w:r>
              <w:rPr>
                <w:rFonts w:ascii="Calibri" w:cs="Calibri" w:eastAsia="Calibri" w:hAnsi="Calibri"/>
                <w:b/>
                <w:bCs/>
                <w:color w:val="333333"/>
                <w:sz w:val="20"/>
                <w:szCs w:val="20"/>
              </w:rPr>
              <w:t xml:space="preserve">Wynik Kroku 3: podmiot jest wskazany w</w:t>
            </w:r>
          </w:p>
        </w:tc>
        <w:tc>
          <w:tcPr>
            <w:tcW w:type="dxa" w:w="6260"/>
            <w:shd w:fill="E8EEF4" w:color="auto" w:val="clear"/>
            <w:tcMar>
              <w:top w:type="dxa" w:w="70"/>
              <w:left w:type="dxa" w:w="100"/>
              <w:bottom w:type="dxa" w:w="70"/>
              <w:right w:type="dxa" w:w="100"/>
            </w:tcMar>
            <w:vAlign w:val="center"/>
          </w:tcPr>
          <w:p>
            <w:pPr>
              <w:spacing w:after="0"/>
            </w:pPr>
            <w:r>
              <w:rPr>
                <w:rFonts w:ascii="Calibri" w:cs="Calibri" w:eastAsia="Calibri" w:hAnsi="Calibri"/>
                <w:b w:val="false"/>
                <w:bCs w:val="false"/>
                <w:color w:val="333333"/>
                <w:sz w:val="20"/>
                <w:szCs w:val="20"/>
              </w:rPr>
              <w:t xml:space="preserve">Załączniku nr 1 ☐      Załączniku nr 2 ☐      w żadnym ☐</w:t>
            </w:r>
          </w:p>
        </w:tc>
      </w:tr>
    </w:tbl>
    <w:p>
      <w:pPr>
        <w:spacing w:after="220"/>
      </w:pPr>
    </w:p>
    <w:p>
      <w:pPr>
        <w:pStyle w:val="Heading1"/>
        <w:keepNext/>
        <w:pBdr>
          <w:bottom w:val="single" w:color="1F6FB2" w:sz="8" w:space="4"/>
        </w:pBdr>
        <w:spacing w:after="150" w:before="340"/>
      </w:pPr>
      <w:r>
        <w:rPr>
          <w:rFonts w:ascii="Calibri" w:cs="Calibri" w:eastAsia="Calibri" w:hAnsi="Calibri"/>
          <w:b/>
          <w:bCs/>
          <w:color w:val="1E2761"/>
          <w:sz w:val="26"/>
          <w:szCs w:val="26"/>
        </w:rPr>
        <w:t xml:space="preserve">Krok 4. Ścieżki niezależne od kryterium wielkości</w:t>
      </w:r>
    </w:p>
    <w:p>
      <w:pPr>
        <w:keepNext/>
        <w:spacing w:after="140" w:before="0"/>
      </w:pPr>
      <w:r>
        <w:rPr>
          <w:rFonts w:ascii="Calibri" w:cs="Calibri" w:eastAsia="Calibri" w:hAnsi="Calibri"/>
          <w:color w:val="333333"/>
          <w:sz w:val="21"/>
          <w:szCs w:val="21"/>
        </w:rPr>
        <w:t xml:space="preserve">Podstawa: art. 5 ust. 1 pkt 2–4 oraz art. 5 ust. 2 pkt 3–5, 7 i 8 UoKSC. Zaznacz przed liczeniem progów — te ścieżki prowadzą do statusu z pominięciem albo z obniżeniem kryterium wielkości.</w:t>
      </w:r>
    </w:p>
    <w:tbl>
      <w:tblPr>
        <w:tblW w:type="dxa" w:w="9360"/>
        <w:tblBorders>
          <w:top w:val="single" w:color="C6D2DE" w:sz="4"/>
          <w:left w:val="single" w:color="C6D2DE" w:sz="4"/>
          <w:bottom w:val="single" w:color="C6D2DE" w:sz="4"/>
          <w:right w:val="single" w:color="C6D2DE" w:sz="4"/>
          <w:insideH w:val="single" w:color="C6D2DE" w:sz="4"/>
          <w:insideV w:val="single" w:color="C6D2DE" w:sz="4"/>
        </w:tblBorders>
      </w:tblPr>
      <w:tblGrid>
        <w:gridCol w:w="5600"/>
        <w:gridCol w:w="2200"/>
        <w:gridCol w:w="1560"/>
      </w:tblGrid>
      <w:tr>
        <w:trPr>
          <w:cantSplit/>
          <w:tblHeader/>
        </w:trPr>
        <w:tc>
          <w:tcPr>
            <w:tcW w:type="dxa" w:w="5600"/>
            <w:shd w:fill="1E276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7"/>
                <w:szCs w:val="17"/>
              </w:rPr>
              <w:t xml:space="preserve">Podmiot jest…</w:t>
            </w:r>
          </w:p>
        </w:tc>
        <w:tc>
          <w:tcPr>
            <w:tcW w:type="dxa" w:w="2200"/>
            <w:shd w:fill="1E276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7"/>
                <w:szCs w:val="17"/>
              </w:rPr>
              <w:t xml:space="preserve">Kategoria wg ustawy</w:t>
            </w:r>
          </w:p>
        </w:tc>
        <w:tc>
          <w:tcPr>
            <w:tcW w:type="dxa" w:w="1560"/>
            <w:shd w:fill="1E276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7"/>
                <w:szCs w:val="17"/>
              </w:rPr>
              <w:t xml:space="preserve">TAK / NIE</w:t>
            </w:r>
          </w:p>
        </w:tc>
      </w:tr>
      <w:tr>
        <w:trPr>
          <w:cantSplit/>
          <w:trHeight w:val="560" w:hRule="atLeast"/>
        </w:trPr>
        <w:tc>
          <w:tcPr>
            <w:tcW w:type="dxa" w:w="560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dostawcą usług DNS</w:t>
            </w:r>
          </w:p>
        </w:tc>
        <w:tc>
          <w:tcPr>
            <w:tcW w:type="dxa" w:w="220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kluczowy — niezależnie od wielkości</w:t>
            </w:r>
          </w:p>
        </w:tc>
        <w:tc>
          <w:tcPr>
            <w:tcW w:type="dxa" w:w="156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
            </w:r>
          </w:p>
        </w:tc>
      </w:tr>
      <w:tr>
        <w:trPr>
          <w:cantSplit/>
          <w:trHeight w:val="560" w:hRule="atLeast"/>
        </w:trPr>
        <w:tc>
          <w:tcPr>
            <w:tcW w:type="dxa" w:w="5600"/>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rejestrem nazw domen najwyższego poziomu (TLD) albo podmiotem świadczącym usługi rejestracji nazw domen</w:t>
            </w:r>
          </w:p>
        </w:tc>
        <w:tc>
          <w:tcPr>
            <w:tcW w:type="dxa" w:w="2200"/>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kluczowy — niezależnie od wielkości</w:t>
            </w:r>
          </w:p>
        </w:tc>
        <w:tc>
          <w:tcPr>
            <w:tcW w:type="dxa" w:w="1560"/>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
            </w:r>
          </w:p>
        </w:tc>
      </w:tr>
      <w:tr>
        <w:trPr>
          <w:cantSplit/>
          <w:trHeight w:val="620" w:hRule="atLeast"/>
        </w:trPr>
        <w:tc>
          <w:tcPr>
            <w:tcW w:type="dxa" w:w="560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kwalifikowanym dostawcą usług zaufania (art. 3 pkt 20 rozporządzenia 910/2014)</w:t>
            </w:r>
          </w:p>
        </w:tc>
        <w:tc>
          <w:tcPr>
            <w:tcW w:type="dxa" w:w="220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kluczowy — niezależnie od wielkości</w:t>
            </w:r>
          </w:p>
        </w:tc>
        <w:tc>
          <w:tcPr>
            <w:tcW w:type="dxa" w:w="156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
            </w:r>
          </w:p>
        </w:tc>
      </w:tr>
      <w:tr>
        <w:trPr>
          <w:cantSplit/>
          <w:trHeight w:val="560" w:hRule="atLeast"/>
        </w:trPr>
        <w:tc>
          <w:tcPr>
            <w:tcW w:type="dxa" w:w="5600"/>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podmiotem krytycznym</w:t>
            </w:r>
          </w:p>
        </w:tc>
        <w:tc>
          <w:tcPr>
            <w:tcW w:type="dxa" w:w="2200"/>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kluczowy — niezależnie od wielkości</w:t>
            </w:r>
          </w:p>
        </w:tc>
        <w:tc>
          <w:tcPr>
            <w:tcW w:type="dxa" w:w="1560"/>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
            </w:r>
          </w:p>
        </w:tc>
      </w:tr>
      <w:tr>
        <w:trPr>
          <w:cantSplit/>
          <w:trHeight w:val="620" w:hRule="atLeast"/>
        </w:trPr>
        <w:tc>
          <w:tcPr>
            <w:tcW w:type="dxa" w:w="560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podmiotem publicznym wskazanym w Załączniku nr 1 w sektorze „Podmioty publiczne”</w:t>
            </w:r>
          </w:p>
        </w:tc>
        <w:tc>
          <w:tcPr>
            <w:tcW w:type="dxa" w:w="220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kluczowy — niezależnie od wielkości</w:t>
            </w:r>
          </w:p>
        </w:tc>
        <w:tc>
          <w:tcPr>
            <w:tcW w:type="dxa" w:w="156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
            </w:r>
          </w:p>
        </w:tc>
      </w:tr>
      <w:tr>
        <w:trPr>
          <w:cantSplit/>
          <w:trHeight w:val="560" w:hRule="atLeast"/>
        </w:trPr>
        <w:tc>
          <w:tcPr>
            <w:tcW w:type="dxa" w:w="5600"/>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podmiotem niebędącym przedsiębiorcą, wskazanym w Załączniku nr 1 z nazwy albo przez określenie rodzaju</w:t>
            </w:r>
          </w:p>
        </w:tc>
        <w:tc>
          <w:tcPr>
            <w:tcW w:type="dxa" w:w="2200"/>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kluczowy — niezależnie od wielkości</w:t>
            </w:r>
          </w:p>
        </w:tc>
        <w:tc>
          <w:tcPr>
            <w:tcW w:type="dxa" w:w="1560"/>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
            </w:r>
          </w:p>
        </w:tc>
      </w:tr>
      <w:tr>
        <w:trPr>
          <w:cantSplit/>
          <w:trHeight w:val="560" w:hRule="atLeast"/>
        </w:trPr>
        <w:tc>
          <w:tcPr>
            <w:tcW w:type="dxa" w:w="5600"/>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operatorem obiektu energetyki jądrowej (art. 2 pkt 2 ustawy o inwestycjach jądrowych)</w:t>
            </w:r>
          </w:p>
        </w:tc>
        <w:tc>
          <w:tcPr>
            <w:tcW w:type="dxa" w:w="2200"/>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kluczowy — od dnia wskazanego w art. 5 ust. 9</w:t>
            </w:r>
          </w:p>
        </w:tc>
        <w:tc>
          <w:tcPr>
            <w:tcW w:type="dxa" w:w="1560"/>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
            </w:r>
          </w:p>
        </w:tc>
      </w:tr>
      <w:tr>
        <w:trPr>
          <w:cantSplit/>
          <w:trHeight w:val="620" w:hRule="atLeast"/>
        </w:trPr>
        <w:tc>
          <w:tcPr>
            <w:tcW w:type="dxa" w:w="560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przedsiębiorcą komunikacji elektronicznej spełniającym co najmniej wymogi dla średniego przedsiębiorcy</w:t>
            </w:r>
          </w:p>
        </w:tc>
        <w:tc>
          <w:tcPr>
            <w:tcW w:type="dxa" w:w="220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kluczowy</w:t>
            </w:r>
          </w:p>
        </w:tc>
        <w:tc>
          <w:tcPr>
            <w:tcW w:type="dxa" w:w="156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
            </w:r>
          </w:p>
        </w:tc>
      </w:tr>
      <w:tr>
        <w:trPr>
          <w:cantSplit/>
          <w:trHeight w:val="620" w:hRule="atLeast"/>
        </w:trPr>
        <w:tc>
          <w:tcPr>
            <w:tcW w:type="dxa" w:w="5600"/>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dostawcą usług zarządzanych w zakresie cyberbezpieczeństwa (MSSP) spełniającym co najmniej wymogi dla MAŁEGO przedsiębiorcy</w:t>
            </w:r>
          </w:p>
        </w:tc>
        <w:tc>
          <w:tcPr>
            <w:tcW w:type="dxa" w:w="2200"/>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kluczowy — próg obniżony do małego</w:t>
            </w:r>
          </w:p>
        </w:tc>
        <w:tc>
          <w:tcPr>
            <w:tcW w:type="dxa" w:w="1560"/>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
            </w:r>
          </w:p>
        </w:tc>
      </w:tr>
      <w:tr>
        <w:trPr>
          <w:cantSplit/>
          <w:trHeight w:val="620" w:hRule="atLeast"/>
        </w:trPr>
        <w:tc>
          <w:tcPr>
            <w:tcW w:type="dxa" w:w="560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niekwalifikowanym dostawcą usług zaufania będącym mikro-, małym lub średnim przedsiębiorcą</w:t>
            </w:r>
          </w:p>
        </w:tc>
        <w:tc>
          <w:tcPr>
            <w:tcW w:type="dxa" w:w="220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ważny</w:t>
            </w:r>
          </w:p>
        </w:tc>
        <w:tc>
          <w:tcPr>
            <w:tcW w:type="dxa" w:w="156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
            </w:r>
          </w:p>
        </w:tc>
      </w:tr>
      <w:tr>
        <w:trPr>
          <w:cantSplit/>
          <w:trHeight w:val="560" w:hRule="atLeast"/>
        </w:trPr>
        <w:tc>
          <w:tcPr>
            <w:tcW w:type="dxa" w:w="5600"/>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przedsiębiorcą komunikacji elektronicznej będącym mikro- lub małym przedsiębiorcą</w:t>
            </w:r>
          </w:p>
        </w:tc>
        <w:tc>
          <w:tcPr>
            <w:tcW w:type="dxa" w:w="2200"/>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ważny</w:t>
            </w:r>
          </w:p>
        </w:tc>
        <w:tc>
          <w:tcPr>
            <w:tcW w:type="dxa" w:w="1560"/>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
            </w:r>
          </w:p>
        </w:tc>
      </w:tr>
      <w:tr>
        <w:trPr>
          <w:cantSplit/>
          <w:trHeight w:val="660" w:hRule="atLeast"/>
        </w:trPr>
        <w:tc>
          <w:tcPr>
            <w:tcW w:type="dxa" w:w="560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inwestorem obiektu energetyki jądrowej z decyzją zasadniczą (art. 3a ust. 1 ustawy o inwestycjach jądrowych)</w:t>
            </w:r>
          </w:p>
        </w:tc>
        <w:tc>
          <w:tcPr>
            <w:tcW w:type="dxa" w:w="220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ważny — niezależnie od wielkości</w:t>
            </w:r>
          </w:p>
        </w:tc>
        <w:tc>
          <w:tcPr>
            <w:tcW w:type="dxa" w:w="156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
            </w:r>
          </w:p>
        </w:tc>
      </w:tr>
      <w:tr>
        <w:trPr>
          <w:cantSplit/>
          <w:trHeight w:val="560" w:hRule="atLeast"/>
        </w:trPr>
        <w:tc>
          <w:tcPr>
            <w:tcW w:type="dxa" w:w="5600"/>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podmiotem niebędącym przedsiębiorcą, wskazanym w Załączniku nr 2 z nazwy albo przez określenie rodzaju</w:t>
            </w:r>
          </w:p>
        </w:tc>
        <w:tc>
          <w:tcPr>
            <w:tcW w:type="dxa" w:w="2200"/>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ważny</w:t>
            </w:r>
          </w:p>
        </w:tc>
        <w:tc>
          <w:tcPr>
            <w:tcW w:type="dxa" w:w="1560"/>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
            </w:r>
          </w:p>
        </w:tc>
      </w:tr>
      <w:tr>
        <w:trPr>
          <w:cantSplit/>
          <w:trHeight w:val="700" w:hRule="atLeast"/>
        </w:trPr>
        <w:tc>
          <w:tcPr>
            <w:tcW w:type="dxa" w:w="560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samorządową jednostką lub zakładem budżetowym, samorządową instytucją kultury albo spółką wykonującą zadania użyteczności publicznej, realizującą zadanie publiczne z wykorzystaniem systemów informacyjnych</w:t>
            </w:r>
          </w:p>
        </w:tc>
        <w:tc>
          <w:tcPr>
            <w:tcW w:type="dxa" w:w="220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ważny (o ile nie jest kluczowy)</w:t>
            </w:r>
          </w:p>
        </w:tc>
        <w:tc>
          <w:tcPr>
            <w:tcW w:type="dxa" w:w="156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
            </w:r>
          </w:p>
        </w:tc>
      </w:tr>
      <w:tr>
        <w:trPr>
          <w:cantSplit/>
          <w:trHeight w:val="560" w:hRule="atLeast"/>
        </w:trPr>
        <w:tc>
          <w:tcPr>
            <w:tcW w:type="dxa" w:w="5600"/>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podmiotem leczniczym niebędącym przedsiębiorcą, zatrudniającym od 50 do 249 osób</w:t>
            </w:r>
          </w:p>
        </w:tc>
        <w:tc>
          <w:tcPr>
            <w:tcW w:type="dxa" w:w="2200"/>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ważny</w:t>
            </w:r>
          </w:p>
        </w:tc>
        <w:tc>
          <w:tcPr>
            <w:tcW w:type="dxa" w:w="1560"/>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
            </w:r>
          </w:p>
        </w:tc>
      </w:tr>
      <w:tr>
        <w:trPr>
          <w:cantSplit/>
          <w:trHeight w:val="620" w:hRule="atLeast"/>
        </w:trPr>
        <w:tc>
          <w:tcPr>
            <w:tcW w:type="dxa" w:w="560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podmiotem leczniczym niebędącym przedsiębiorcą, zatrudniającym co najmniej 250 osób</w:t>
            </w:r>
          </w:p>
        </w:tc>
        <w:tc>
          <w:tcPr>
            <w:tcW w:type="dxa" w:w="220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kluczowy</w:t>
            </w:r>
          </w:p>
        </w:tc>
        <w:tc>
          <w:tcPr>
            <w:tcW w:type="dxa" w:w="156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
            </w:r>
          </w:p>
        </w:tc>
      </w:tr>
    </w:tbl>
    <w:p>
      <w:pPr>
        <w:spacing w:after="180"/>
      </w:pPr>
    </w:p>
    <w:tbl>
      <w:tblPr>
        <w:tblW w:type="dxa" w:w="9360"/>
        <w:tblBorders>
          <w:top w:val="single" w:color="C97A1F" w:sz="8"/>
          <w:left w:val="single" w:color="C97A1F" w:sz="8"/>
          <w:bottom w:val="single" w:color="C97A1F" w:sz="8"/>
          <w:right w:val="single" w:color="C97A1F" w:sz="8"/>
          <w:insideH w:val="none"/>
          <w:insideV w:val="none"/>
        </w:tblBorders>
      </w:tblPr>
      <w:tblGrid>
        <w:gridCol w:w="9360"/>
      </w:tblGrid>
      <w:tr>
        <w:trPr>
          <w:cantSplit/>
        </w:trPr>
        <w:tc>
          <w:tcPr>
            <w:tcW w:type="dxa" w:w="9360"/>
            <w:shd w:fill="FFF7DB" w:color="auto" w:val="clear"/>
            <w:tcMar>
              <w:top w:type="dxa" w:w="110"/>
              <w:left w:type="dxa" w:w="140"/>
              <w:bottom w:type="dxa" w:w="110"/>
              <w:right w:type="dxa" w:w="140"/>
            </w:tcMar>
          </w:tcPr>
          <w:p>
            <w:r>
              <w:rPr>
                <w:rFonts w:ascii="Calibri" w:cs="Calibri" w:eastAsia="Calibri" w:hAnsi="Calibri"/>
                <w:b/>
                <w:bCs/>
                <w:color w:val="1E2761"/>
                <w:sz w:val="21"/>
                <w:szCs w:val="21"/>
              </w:rPr>
              <w:t xml:space="preserve">Najczęściej przeoczana pozycja:  </w:t>
            </w:r>
            <w:r>
              <w:rPr>
                <w:rFonts w:ascii="Calibri" w:cs="Calibri" w:eastAsia="Calibri" w:hAnsi="Calibri"/>
                <w:color w:val="333333"/>
                <w:sz w:val="21"/>
                <w:szCs w:val="21"/>
              </w:rPr>
              <w:t xml:space="preserve">Dostawca usług zarządzanych w zakresie cyberbezpieczeństwa jest podmiotem KLUCZOWYM już od progu małego przedsiębiorcy — a nie średniego, jak w regule ogólnej. Jeżeli świadczysz komukolwiek usługi bezpieczeństwa w modelu zarządzanym, sprawdź ten wiersz przed liczeniem czegokolwiek innego.</w:t>
            </w:r>
          </w:p>
        </w:tc>
      </w:tr>
    </w:tbl>
    <w:p>
      <w:pPr>
        <w:spacing w:after="220"/>
      </w:pPr>
    </w:p>
    <w:p>
      <w:pPr>
        <w:pStyle w:val="Heading1"/>
        <w:keepNext/>
        <w:pBdr>
          <w:bottom w:val="single" w:color="1F6FB2" w:sz="8" w:space="4"/>
        </w:pBdr>
        <w:spacing w:after="150" w:before="340"/>
      </w:pPr>
      <w:r>
        <w:rPr>
          <w:rFonts w:ascii="Calibri" w:cs="Calibri" w:eastAsia="Calibri" w:hAnsi="Calibri"/>
          <w:b/>
          <w:bCs/>
          <w:color w:val="1E2761"/>
          <w:sz w:val="26"/>
          <w:szCs w:val="26"/>
        </w:rPr>
        <w:t xml:space="preserve">Krok 5. Kryterium wielkości przedsiębiorstwa</w:t>
      </w:r>
    </w:p>
    <w:p>
      <w:pPr>
        <w:keepNext/>
        <w:spacing w:after="130" w:before="0"/>
      </w:pPr>
      <w:r>
        <w:rPr>
          <w:rFonts w:ascii="Calibri" w:cs="Calibri" w:eastAsia="Calibri" w:hAnsi="Calibri"/>
          <w:color w:val="333333"/>
          <w:sz w:val="21"/>
          <w:szCs w:val="21"/>
        </w:rPr>
        <w:t xml:space="preserve">Podstawa: art. 5 ust. 1 pkt 1 i ust. 2 pkt 1–2 UoKSC w związku z art. 2 ust. 1 załącznika I do rozporządzenia Komisji (UE) nr 651/2014. Wypełnij tylko, jeżeli status zależy od wielkości.</w:t>
      </w:r>
    </w:p>
    <w:tbl>
      <w:tblPr>
        <w:tblW w:type="dxa" w:w="9360"/>
        <w:tblBorders>
          <w:top w:val="single" w:color="C0392B" w:sz="8"/>
          <w:left w:val="single" w:color="C0392B" w:sz="8"/>
          <w:bottom w:val="single" w:color="C0392B" w:sz="8"/>
          <w:right w:val="single" w:color="C0392B" w:sz="8"/>
          <w:insideH w:val="none"/>
          <w:insideV w:val="none"/>
        </w:tblBorders>
      </w:tblPr>
      <w:tblGrid>
        <w:gridCol w:w="9360"/>
      </w:tblGrid>
      <w:tr>
        <w:trPr>
          <w:cantSplit/>
        </w:trPr>
        <w:tc>
          <w:tcPr>
            <w:tcW w:type="dxa" w:w="9360"/>
            <w:shd w:fill="FFF7DB" w:color="auto" w:val="clear"/>
            <w:tcMar>
              <w:top w:type="dxa" w:w="110"/>
              <w:left w:type="dxa" w:w="140"/>
              <w:bottom w:type="dxa" w:w="110"/>
              <w:right w:type="dxa" w:w="140"/>
            </w:tcMar>
          </w:tcPr>
          <w:p>
            <w:r>
              <w:rPr>
                <w:rFonts w:ascii="Calibri" w:cs="Calibri" w:eastAsia="Calibri" w:hAnsi="Calibri"/>
                <w:b/>
                <w:bCs/>
                <w:color w:val="1E2761"/>
                <w:sz w:val="21"/>
                <w:szCs w:val="21"/>
              </w:rPr>
              <w:t xml:space="preserve">Dzień badania:  </w:t>
            </w:r>
            <w:r>
              <w:rPr>
                <w:rFonts w:ascii="Calibri" w:cs="Calibri" w:eastAsia="Calibri" w:hAnsi="Calibri"/>
                <w:color w:val="333333"/>
                <w:sz w:val="21"/>
                <w:szCs w:val="21"/>
              </w:rPr>
              <w:t xml:space="preserve">Przesłanki bada się według stanu na DZIEŃ SPORZĄDZENIA SPRAWOZDANIA FINANSOWEGO (art. 5 ust. 5 UoKSC). Wpisz tę datę poniżej — bez niej ustalenie nie jest weryfikowalne. Przy przeliczaniu wartości na euro stosuje się kurs ogłaszany przez Narodowy Bank Polski.</w:t>
            </w:r>
          </w:p>
        </w:tc>
      </w:tr>
    </w:tbl>
    <w:p>
      <w:pPr>
        <w:spacing w:after="160"/>
      </w:pPr>
    </w:p>
    <w:tbl>
      <w:tblPr>
        <w:tblW w:type="dxa" w:w="9360"/>
        <w:tblBorders>
          <w:top w:val="single" w:color="C6D2DE" w:sz="4"/>
          <w:left w:val="single" w:color="C6D2DE" w:sz="4"/>
          <w:bottom w:val="single" w:color="C6D2DE" w:sz="4"/>
          <w:right w:val="single" w:color="C6D2DE" w:sz="4"/>
          <w:insideH w:val="single" w:color="C6D2DE" w:sz="4"/>
          <w:insideV w:val="single" w:color="C6D2DE" w:sz="4"/>
        </w:tblBorders>
      </w:tblPr>
      <w:tblGrid>
        <w:gridCol w:w="3100"/>
        <w:gridCol w:w="6260"/>
      </w:tblGrid>
      <w:tr>
        <w:trPr>
          <w:cantSplit/>
          <w:trHeight w:val="560" w:hRule="atLeast"/>
        </w:trPr>
        <w:tc>
          <w:tcPr>
            <w:tcW w:type="dxa" w:w="3100"/>
            <w:shd w:fill="E8EEF4" w:color="auto" w:val="clear"/>
            <w:tcMar>
              <w:top w:type="dxa" w:w="70"/>
              <w:left w:type="dxa" w:w="100"/>
              <w:bottom w:type="dxa" w:w="70"/>
              <w:right w:type="dxa" w:w="100"/>
            </w:tcMar>
            <w:vAlign w:val="center"/>
          </w:tcPr>
          <w:p>
            <w:pPr>
              <w:spacing w:after="0"/>
            </w:pPr>
            <w:r>
              <w:rPr>
                <w:rFonts w:ascii="Calibri" w:cs="Calibri" w:eastAsia="Calibri" w:hAnsi="Calibri"/>
                <w:b/>
                <w:bCs/>
                <w:color w:val="333333"/>
                <w:sz w:val="20"/>
                <w:szCs w:val="20"/>
              </w:rPr>
              <w:t xml:space="preserve">Dzień sporządzenia sprawozdania finansowego</w:t>
            </w:r>
          </w:p>
        </w:tc>
        <w:tc>
          <w:tcPr>
            <w:tcW w:type="dxa" w:w="6260"/>
            <w:shd w:fill="E8EEF4" w:color="auto" w:val="clear"/>
            <w:tcMar>
              <w:top w:type="dxa" w:w="70"/>
              <w:left w:type="dxa" w:w="100"/>
              <w:bottom w:type="dxa" w:w="70"/>
              <w:right w:type="dxa" w:w="100"/>
            </w:tcMar>
            <w:vAlign w:val="center"/>
          </w:tcPr>
          <w:p>
            <w:pPr>
              <w:spacing w:after="0"/>
            </w:pPr>
            <w:r>
              <w:rPr>
                <w:rFonts w:ascii="Calibri" w:cs="Calibri" w:eastAsia="Calibri" w:hAnsi="Calibri"/>
                <w:b w:val="false"/>
                <w:bCs w:val="false"/>
                <w:color w:val="333333"/>
                <w:sz w:val="20"/>
                <w:szCs w:val="20"/>
              </w:rPr>
              <w:t xml:space="preserve"/>
            </w:r>
          </w:p>
        </w:tc>
      </w:tr>
    </w:tbl>
    <w:p>
      <w:pPr>
        <w:spacing w:after="180"/>
      </w:pPr>
    </w:p>
    <w:p>
      <w:pPr>
        <w:pStyle w:val="Heading2"/>
        <w:keepNext/>
        <w:spacing w:after="90" w:before="240"/>
      </w:pPr>
      <w:r>
        <w:rPr>
          <w:rFonts w:ascii="Calibri" w:cs="Calibri" w:eastAsia="Calibri" w:hAnsi="Calibri"/>
          <w:b/>
          <w:bCs/>
          <w:color w:val="1F6FB2"/>
          <w:sz w:val="23"/>
          <w:szCs w:val="23"/>
        </w:rPr>
        <w:t xml:space="preserve">5.1. Dane podmiotu i przedsiębiorstw powiązanych oraz partnerskich</w:t>
      </w:r>
    </w:p>
    <w:tbl>
      <w:tblPr>
        <w:tblW w:type="dxa" w:w="9360"/>
        <w:tblBorders>
          <w:top w:val="single" w:color="C6D2DE" w:sz="4"/>
          <w:left w:val="single" w:color="C6D2DE" w:sz="4"/>
          <w:bottom w:val="single" w:color="C6D2DE" w:sz="4"/>
          <w:right w:val="single" w:color="C6D2DE" w:sz="4"/>
          <w:insideH w:val="single" w:color="C6D2DE" w:sz="4"/>
          <w:insideV w:val="single" w:color="C6D2DE" w:sz="4"/>
        </w:tblBorders>
      </w:tblPr>
      <w:tblGrid>
        <w:gridCol w:w="2900"/>
        <w:gridCol w:w="1600"/>
        <w:gridCol w:w="1600"/>
        <w:gridCol w:w="1600"/>
        <w:gridCol w:w="1660"/>
      </w:tblGrid>
      <w:tr>
        <w:trPr>
          <w:cantSplit/>
          <w:tblHeader/>
        </w:trPr>
        <w:tc>
          <w:tcPr>
            <w:tcW w:type="dxa" w:w="2900"/>
            <w:shd w:fill="1E276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7"/>
                <w:szCs w:val="17"/>
              </w:rPr>
              <w:t xml:space="preserve">Kryterium</w:t>
            </w:r>
          </w:p>
        </w:tc>
        <w:tc>
          <w:tcPr>
            <w:tcW w:type="dxa" w:w="1600"/>
            <w:shd w:fill="1E276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7"/>
                <w:szCs w:val="17"/>
              </w:rPr>
              <w:t xml:space="preserve">Dane samego podmiotu</w:t>
            </w:r>
          </w:p>
        </w:tc>
        <w:tc>
          <w:tcPr>
            <w:tcW w:type="dxa" w:w="1600"/>
            <w:shd w:fill="1E276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7"/>
                <w:szCs w:val="17"/>
              </w:rPr>
              <w:t xml:space="preserve">Przedsiębiorstwa partnerskie</w:t>
            </w:r>
          </w:p>
        </w:tc>
        <w:tc>
          <w:tcPr>
            <w:tcW w:type="dxa" w:w="1600"/>
            <w:shd w:fill="1E276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7"/>
                <w:szCs w:val="17"/>
              </w:rPr>
              <w:t xml:space="preserve">Przedsiębiorstwa powiązane</w:t>
            </w:r>
          </w:p>
        </w:tc>
        <w:tc>
          <w:tcPr>
            <w:tcW w:type="dxa" w:w="1660"/>
            <w:shd w:fill="1E276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7"/>
                <w:szCs w:val="17"/>
              </w:rPr>
              <w:t xml:space="preserve">RAZEM</w:t>
            </w:r>
          </w:p>
        </w:tc>
      </w:tr>
      <w:tr>
        <w:trPr>
          <w:cantSplit/>
          <w:trHeight w:val="620" w:hRule="atLeast"/>
        </w:trPr>
        <w:tc>
          <w:tcPr>
            <w:tcW w:type="dxa" w:w="2900"/>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Liczba zatrudnionych (RJR)</w:t>
            </w:r>
          </w:p>
        </w:tc>
        <w:tc>
          <w:tcPr>
            <w:tcW w:type="dxa" w:w="1600"/>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
            </w:r>
          </w:p>
        </w:tc>
        <w:tc>
          <w:tcPr>
            <w:tcW w:type="dxa" w:w="1600"/>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
            </w:r>
          </w:p>
        </w:tc>
        <w:tc>
          <w:tcPr>
            <w:tcW w:type="dxa" w:w="1600"/>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
            </w:r>
          </w:p>
        </w:tc>
        <w:tc>
          <w:tcPr>
            <w:tcW w:type="dxa" w:w="1660"/>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
            </w:r>
          </w:p>
        </w:tc>
      </w:tr>
      <w:tr>
        <w:trPr>
          <w:cantSplit/>
          <w:trHeight w:val="620" w:hRule="atLeast"/>
        </w:trPr>
        <w:tc>
          <w:tcPr>
            <w:tcW w:type="dxa" w:w="290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Roczny obrót (EUR)</w:t>
            </w:r>
          </w:p>
        </w:tc>
        <w:tc>
          <w:tcPr>
            <w:tcW w:type="dxa" w:w="160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
            </w:r>
          </w:p>
        </w:tc>
        <w:tc>
          <w:tcPr>
            <w:tcW w:type="dxa" w:w="160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
            </w:r>
          </w:p>
        </w:tc>
        <w:tc>
          <w:tcPr>
            <w:tcW w:type="dxa" w:w="160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
            </w:r>
          </w:p>
        </w:tc>
        <w:tc>
          <w:tcPr>
            <w:tcW w:type="dxa" w:w="166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
            </w:r>
          </w:p>
        </w:tc>
      </w:tr>
      <w:tr>
        <w:trPr>
          <w:cantSplit/>
          <w:trHeight w:val="620" w:hRule="atLeast"/>
        </w:trPr>
        <w:tc>
          <w:tcPr>
            <w:tcW w:type="dxa" w:w="2900"/>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Suma bilansowa (EUR)</w:t>
            </w:r>
          </w:p>
        </w:tc>
        <w:tc>
          <w:tcPr>
            <w:tcW w:type="dxa" w:w="1600"/>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
            </w:r>
          </w:p>
        </w:tc>
        <w:tc>
          <w:tcPr>
            <w:tcW w:type="dxa" w:w="1600"/>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
            </w:r>
          </w:p>
        </w:tc>
        <w:tc>
          <w:tcPr>
            <w:tcW w:type="dxa" w:w="1600"/>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
            </w:r>
          </w:p>
        </w:tc>
        <w:tc>
          <w:tcPr>
            <w:tcW w:type="dxa" w:w="1660"/>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
            </w:r>
          </w:p>
        </w:tc>
      </w:tr>
    </w:tbl>
    <w:p>
      <w:pPr>
        <w:spacing w:after="160"/>
      </w:pPr>
    </w:p>
    <w:tbl>
      <w:tblPr>
        <w:tblW w:type="dxa" w:w="9360"/>
        <w:tblBorders>
          <w:top w:val="single" w:color="C6D2DE" w:sz="4"/>
          <w:left w:val="single" w:color="C6D2DE" w:sz="4"/>
          <w:bottom w:val="single" w:color="C6D2DE" w:sz="4"/>
          <w:right w:val="single" w:color="C6D2DE" w:sz="4"/>
          <w:insideH w:val="single" w:color="C6D2DE" w:sz="4"/>
          <w:insideV w:val="single" w:color="C6D2DE" w:sz="4"/>
        </w:tblBorders>
      </w:tblPr>
      <w:tblGrid>
        <w:gridCol w:w="9360"/>
      </w:tblGrid>
      <w:tr>
        <w:trPr>
          <w:cantSplit/>
          <w:trHeight w:val="560" w:hRule="atLeast"/>
        </w:trPr>
        <w:tc>
          <w:tcPr>
            <w:tcW w:type="dxa" w:w="9360"/>
            <w:shd w:fill="E8EEF4" w:color="auto" w:val="clear"/>
            <w:tcMar>
              <w:top w:type="dxa" w:w="70"/>
              <w:left w:type="dxa" w:w="100"/>
              <w:bottom w:type="dxa" w:w="70"/>
              <w:right w:type="dxa" w:w="100"/>
            </w:tcMar>
            <w:vAlign w:val="center"/>
          </w:tcPr>
          <w:p>
            <w:pPr>
              <w:spacing w:after="0"/>
            </w:pPr>
            <w:r>
              <w:rPr>
                <w:rFonts w:ascii="Calibri" w:cs="Calibri" w:eastAsia="Calibri" w:hAnsi="Calibri"/>
                <w:b/>
                <w:bCs/>
                <w:color w:val="333333"/>
                <w:sz w:val="20"/>
                <w:szCs w:val="20"/>
              </w:rPr>
              <w:t xml:space="preserve">Wykaz przedsiębiorstw partnerskich i powiązanych uwzględnionych w wyliczeniu (nazwa, NIP, udział):</w:t>
            </w:r>
          </w:p>
        </w:tc>
      </w:tr>
      <w:tr>
        <w:trPr>
          <w:cantSplit/>
          <w:trHeight w:val="1500" w:hRule="atLeast"/>
        </w:trPr>
        <w:tc>
          <w:tcPr>
            <w:tcW w:type="dxa" w:w="9360"/>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
            </w:r>
          </w:p>
        </w:tc>
      </w:tr>
    </w:tbl>
    <w:p>
      <w:pPr>
        <w:spacing w:after="150"/>
      </w:pPr>
    </w:p>
    <w:tbl>
      <w:tblPr>
        <w:tblW w:type="dxa" w:w="9360"/>
        <w:tblBorders>
          <w:top w:val="single" w:color="028090" w:sz="8"/>
          <w:left w:val="single" w:color="028090" w:sz="8"/>
          <w:bottom w:val="single" w:color="028090" w:sz="8"/>
          <w:right w:val="single" w:color="028090" w:sz="8"/>
          <w:insideH w:val="none"/>
          <w:insideV w:val="none"/>
        </w:tblBorders>
      </w:tblPr>
      <w:tblGrid>
        <w:gridCol w:w="9360"/>
      </w:tblGrid>
      <w:tr>
        <w:trPr>
          <w:cantSplit/>
        </w:trPr>
        <w:tc>
          <w:tcPr>
            <w:tcW w:type="dxa" w:w="9360"/>
            <w:shd w:fill="F2F5F8" w:color="auto" w:val="clear"/>
            <w:tcMar>
              <w:top w:type="dxa" w:w="110"/>
              <w:left w:type="dxa" w:w="140"/>
              <w:bottom w:type="dxa" w:w="110"/>
              <w:right w:type="dxa" w:w="140"/>
            </w:tcMar>
          </w:tcPr>
          <w:p>
            <w:r>
              <w:rPr>
                <w:rFonts w:ascii="Calibri" w:cs="Calibri" w:eastAsia="Calibri" w:hAnsi="Calibri"/>
                <w:b/>
                <w:bCs/>
                <w:color w:val="1E2761"/>
                <w:sz w:val="21"/>
                <w:szCs w:val="21"/>
              </w:rPr>
              <w:t xml:space="preserve">Ważne odstępstwo:  </w:t>
            </w:r>
            <w:r>
              <w:rPr>
                <w:rFonts w:ascii="Calibri" w:cs="Calibri" w:eastAsia="Calibri" w:hAnsi="Calibri"/>
                <w:color w:val="333333"/>
                <w:sz w:val="21"/>
                <w:szCs w:val="21"/>
              </w:rPr>
              <w:t xml:space="preserve">Przy określaniu wymogów wielkościowych NIE stosuje się art. 3 ust. 4 załącznika I do rozporządzenia 651/2014 (art. 5 ust. 3 UoKSC) — to przepis wyłączający przedsiębiorstwa kontrolowane przez podmioty publiczne z kategorii MŚP. W praktyce oznacza to, że spółka komunalna liczy progi tak samo jak prywatna.</w:t>
            </w:r>
          </w:p>
        </w:tc>
      </w:tr>
    </w:tbl>
    <w:p>
      <w:pPr>
        <w:spacing w:after="180"/>
      </w:pPr>
    </w:p>
    <w:p>
      <w:pPr>
        <w:pStyle w:val="Heading2"/>
        <w:keepNext/>
        <w:spacing w:after="90" w:before="240"/>
      </w:pPr>
      <w:r>
        <w:rPr>
          <w:rFonts w:ascii="Calibri" w:cs="Calibri" w:eastAsia="Calibri" w:hAnsi="Calibri"/>
          <w:b/>
          <w:bCs/>
          <w:color w:val="1F6FB2"/>
          <w:sz w:val="23"/>
          <w:szCs w:val="23"/>
        </w:rPr>
        <w:t xml:space="preserve">5.2. Kwalifikacja wielkościowa</w:t>
      </w:r>
    </w:p>
    <w:tbl>
      <w:tblPr>
        <w:tblW w:type="dxa" w:w="9360"/>
        <w:tblBorders>
          <w:top w:val="single" w:color="C6D2DE" w:sz="4"/>
          <w:left w:val="single" w:color="C6D2DE" w:sz="4"/>
          <w:bottom w:val="single" w:color="C6D2DE" w:sz="4"/>
          <w:right w:val="single" w:color="C6D2DE" w:sz="4"/>
          <w:insideH w:val="single" w:color="C6D2DE" w:sz="4"/>
          <w:insideV w:val="single" w:color="C6D2DE" w:sz="4"/>
        </w:tblBorders>
      </w:tblPr>
      <w:tblGrid>
        <w:gridCol w:w="4200"/>
        <w:gridCol w:w="2600"/>
        <w:gridCol w:w="2560"/>
      </w:tblGrid>
      <w:tr>
        <w:trPr>
          <w:cantSplit/>
          <w:tblHeader/>
        </w:trPr>
        <w:tc>
          <w:tcPr>
            <w:tcW w:type="dxa" w:w="4200"/>
            <w:shd w:fill="1E276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7"/>
                <w:szCs w:val="17"/>
              </w:rPr>
              <w:t xml:space="preserve">Kategoria wg rozporządzenia 651/2014</w:t>
            </w:r>
          </w:p>
        </w:tc>
        <w:tc>
          <w:tcPr>
            <w:tcW w:type="dxa" w:w="2600"/>
            <w:shd w:fill="1E276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7"/>
                <w:szCs w:val="17"/>
              </w:rPr>
              <w:t xml:space="preserve">Progi</w:t>
            </w:r>
          </w:p>
        </w:tc>
        <w:tc>
          <w:tcPr>
            <w:tcW w:type="dxa" w:w="2560"/>
            <w:shd w:fill="1E276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7"/>
                <w:szCs w:val="17"/>
              </w:rPr>
              <w:t xml:space="preserve">Zaznacz</w:t>
            </w:r>
          </w:p>
        </w:tc>
      </w:tr>
      <w:tr>
        <w:trPr>
          <w:cantSplit/>
          <w:trHeight w:val="620" w:hRule="atLeast"/>
        </w:trPr>
        <w:tc>
          <w:tcPr>
            <w:tcW w:type="dxa" w:w="420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Mikroprzedsiębiorstwo</w:t>
            </w:r>
          </w:p>
        </w:tc>
        <w:tc>
          <w:tcPr>
            <w:tcW w:type="dxa" w:w="260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&lt; 10 osób i (obrót ≤ 2 mln EUR lub bilans ≤ 2 mln EUR)</w:t>
            </w:r>
          </w:p>
        </w:tc>
        <w:tc>
          <w:tcPr>
            <w:tcW w:type="dxa" w:w="256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
            </w:r>
          </w:p>
        </w:tc>
      </w:tr>
      <w:tr>
        <w:trPr>
          <w:cantSplit/>
          <w:trHeight w:val="560" w:hRule="atLeast"/>
        </w:trPr>
        <w:tc>
          <w:tcPr>
            <w:tcW w:type="dxa" w:w="4200"/>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Małe przedsiębiorstwo</w:t>
            </w:r>
          </w:p>
        </w:tc>
        <w:tc>
          <w:tcPr>
            <w:tcW w:type="dxa" w:w="2600"/>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&lt; 50 osób i (obrót ≤ 10 mln EUR lub bilans ≤ 10 mln EUR)</w:t>
            </w:r>
          </w:p>
        </w:tc>
        <w:tc>
          <w:tcPr>
            <w:tcW w:type="dxa" w:w="2560"/>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
            </w:r>
          </w:p>
        </w:tc>
      </w:tr>
      <w:tr>
        <w:trPr>
          <w:cantSplit/>
          <w:trHeight w:val="620" w:hRule="atLeast"/>
        </w:trPr>
        <w:tc>
          <w:tcPr>
            <w:tcW w:type="dxa" w:w="420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Średnie przedsiębiorstwo</w:t>
            </w:r>
          </w:p>
        </w:tc>
        <w:tc>
          <w:tcPr>
            <w:tcW w:type="dxa" w:w="260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&lt; 250 osób i (obrót ≤ 50 mln EUR lub bilans ≤ 43 mln EUR)</w:t>
            </w:r>
          </w:p>
        </w:tc>
        <w:tc>
          <w:tcPr>
            <w:tcW w:type="dxa" w:w="256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
            </w:r>
          </w:p>
        </w:tc>
      </w:tr>
      <w:tr>
        <w:trPr>
          <w:cantSplit/>
          <w:trHeight w:val="560" w:hRule="atLeast"/>
        </w:trPr>
        <w:tc>
          <w:tcPr>
            <w:tcW w:type="dxa" w:w="4200"/>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Przewyższa kryteria średniego przedsiębiorstwa (duże)</w:t>
            </w:r>
          </w:p>
        </w:tc>
        <w:tc>
          <w:tcPr>
            <w:tcW w:type="dxa" w:w="2600"/>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przekroczony próg zatrudnienia albo oba progi finansowe</w:t>
            </w:r>
          </w:p>
        </w:tc>
        <w:tc>
          <w:tcPr>
            <w:tcW w:type="dxa" w:w="2560"/>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
            </w:r>
          </w:p>
        </w:tc>
      </w:tr>
    </w:tbl>
    <w:p>
      <w:pPr>
        <w:spacing w:after="220"/>
      </w:pPr>
    </w:p>
    <w:p>
      <w:pPr>
        <w:pStyle w:val="Heading1"/>
        <w:keepNext/>
        <w:pBdr>
          <w:bottom w:val="single" w:color="1F6FB2" w:sz="8" w:space="4"/>
        </w:pBdr>
        <w:spacing w:after="150" w:before="340"/>
      </w:pPr>
      <w:r>
        <w:rPr>
          <w:rFonts w:ascii="Calibri" w:cs="Calibri" w:eastAsia="Calibri" w:hAnsi="Calibri"/>
          <w:b/>
          <w:bCs/>
          <w:color w:val="1E2761"/>
          <w:sz w:val="26"/>
          <w:szCs w:val="26"/>
        </w:rPr>
        <w:t xml:space="preserve">Krok 6. Test niezależności systemów informacyjnych</w:t>
      </w:r>
    </w:p>
    <w:p>
      <w:pPr>
        <w:keepNext/>
        <w:spacing w:after="140" w:before="0"/>
      </w:pPr>
      <w:r>
        <w:rPr>
          <w:rFonts w:ascii="Calibri" w:cs="Calibri" w:eastAsia="Calibri" w:hAnsi="Calibri"/>
          <w:color w:val="333333"/>
          <w:sz w:val="21"/>
          <w:szCs w:val="21"/>
        </w:rPr>
        <w:t xml:space="preserve">Podstawa: art. 5 ust. 6 i 7 UoKSC. Wypełnij WYŁĄCZNIE wtedy, gdy podmiot przekroczył próg dopiero po doliczeniu przedsiębiorstw powiązanych lub partnerskich.</w:t>
      </w:r>
    </w:p>
    <w:tbl>
      <w:tblPr>
        <w:tblW w:type="dxa" w:w="9360"/>
        <w:tblBorders>
          <w:top w:val="single" w:color="06A77D" w:sz="8"/>
          <w:left w:val="single" w:color="06A77D" w:sz="8"/>
          <w:bottom w:val="single" w:color="06A77D" w:sz="8"/>
          <w:right w:val="single" w:color="06A77D" w:sz="8"/>
          <w:insideH w:val="none"/>
          <w:insideV w:val="none"/>
        </w:tblBorders>
      </w:tblPr>
      <w:tblGrid>
        <w:gridCol w:w="9360"/>
      </w:tblGrid>
      <w:tr>
        <w:trPr>
          <w:cantSplit/>
        </w:trPr>
        <w:tc>
          <w:tcPr>
            <w:tcW w:type="dxa" w:w="9360"/>
            <w:shd w:fill="FFF7DB" w:color="auto" w:val="clear"/>
            <w:tcMar>
              <w:top w:type="dxa" w:w="110"/>
              <w:left w:type="dxa" w:w="140"/>
              <w:bottom w:type="dxa" w:w="110"/>
              <w:right w:type="dxa" w:w="140"/>
            </w:tcMar>
          </w:tcPr>
          <w:p>
            <w:r>
              <w:rPr>
                <w:rFonts w:ascii="Calibri" w:cs="Calibri" w:eastAsia="Calibri" w:hAnsi="Calibri"/>
                <w:b/>
                <w:bCs/>
                <w:color w:val="1E2761"/>
                <w:sz w:val="21"/>
                <w:szCs w:val="21"/>
              </w:rPr>
              <w:t xml:space="preserve">Na czym polega ten test:  </w:t>
            </w:r>
            <w:r>
              <w:rPr>
                <w:rFonts w:ascii="Calibri" w:cs="Calibri" w:eastAsia="Calibri" w:hAnsi="Calibri"/>
                <w:color w:val="333333"/>
                <w:sz w:val="21"/>
                <w:szCs w:val="21"/>
              </w:rPr>
              <w:t xml:space="preserve">Jeżeli podmiot spełnia wymogi kategorii TYLKO dlatego, że progi liczy się łącznie z przedsiębiorstwami powiązanymi lub partnerskimi, ale jego system informacyjny jest NIEZALEŻNY od ich systemów LUB nie świadczy on usług wspólnie z nimi — to nie jest podmiotem kluczowym (odpowiednio: ważnym). To jedyna ustawowa ścieżka wyjścia z konsolidacji i jednocześnie najczęściej pomijany przepis w całej samoidentyfikacji.</w:t>
            </w:r>
          </w:p>
        </w:tc>
      </w:tr>
    </w:tbl>
    <w:p>
      <w:pPr>
        <w:spacing w:after="160"/>
      </w:pPr>
    </w:p>
    <w:tbl>
      <w:tblPr>
        <w:tblW w:type="dxa" w:w="9360"/>
        <w:tblBorders>
          <w:top w:val="single" w:color="C6D2DE" w:sz="4"/>
          <w:left w:val="single" w:color="C6D2DE" w:sz="4"/>
          <w:bottom w:val="single" w:color="C6D2DE" w:sz="4"/>
          <w:right w:val="single" w:color="C6D2DE" w:sz="4"/>
          <w:insideH w:val="single" w:color="C6D2DE" w:sz="4"/>
          <w:insideV w:val="single" w:color="C6D2DE" w:sz="4"/>
        </w:tblBorders>
      </w:tblPr>
      <w:tblGrid>
        <w:gridCol w:w="5800"/>
        <w:gridCol w:w="1600"/>
        <w:gridCol w:w="1960"/>
      </w:tblGrid>
      <w:tr>
        <w:trPr>
          <w:cantSplit/>
          <w:tblHeader/>
        </w:trPr>
        <w:tc>
          <w:tcPr>
            <w:tcW w:type="dxa" w:w="5800"/>
            <w:shd w:fill="1E276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7"/>
                <w:szCs w:val="17"/>
              </w:rPr>
              <w:t xml:space="preserve">Pytanie</w:t>
            </w:r>
          </w:p>
        </w:tc>
        <w:tc>
          <w:tcPr>
            <w:tcW w:type="dxa" w:w="1600"/>
            <w:shd w:fill="1E276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7"/>
                <w:szCs w:val="17"/>
              </w:rPr>
              <w:t xml:space="preserve">TAK / NIE</w:t>
            </w:r>
          </w:p>
        </w:tc>
        <w:tc>
          <w:tcPr>
            <w:tcW w:type="dxa" w:w="1960"/>
            <w:shd w:fill="1E276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7"/>
                <w:szCs w:val="17"/>
              </w:rPr>
              <w:t xml:space="preserve">Dowód</w:t>
            </w:r>
          </w:p>
        </w:tc>
      </w:tr>
      <w:tr>
        <w:trPr>
          <w:cantSplit/>
          <w:trHeight w:val="620" w:hRule="atLeast"/>
        </w:trPr>
        <w:tc>
          <w:tcPr>
            <w:tcW w:type="dxa" w:w="580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Czy status zależy od doliczenia przedsiębiorstw powiązanych lub partnerskich? (jeżeli NIE — pomiń resztę kroku)</w:t>
            </w:r>
          </w:p>
        </w:tc>
        <w:tc>
          <w:tcPr>
            <w:tcW w:type="dxa" w:w="160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
            </w:r>
          </w:p>
        </w:tc>
        <w:tc>
          <w:tcPr>
            <w:tcW w:type="dxa" w:w="196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
            </w:r>
          </w:p>
        </w:tc>
      </w:tr>
      <w:tr>
        <w:trPr>
          <w:cantSplit/>
          <w:trHeight w:val="620" w:hRule="atLeast"/>
        </w:trPr>
        <w:tc>
          <w:tcPr>
            <w:tcW w:type="dxa" w:w="5800"/>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Czy system informacyjny podmiotu jest niezależny od systemów przedsiębiorstw powiązanych i partnerskich?</w:t>
            </w:r>
          </w:p>
        </w:tc>
        <w:tc>
          <w:tcPr>
            <w:tcW w:type="dxa" w:w="1600"/>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
            </w:r>
          </w:p>
        </w:tc>
        <w:tc>
          <w:tcPr>
            <w:tcW w:type="dxa" w:w="1960"/>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
            </w:r>
          </w:p>
        </w:tc>
      </w:tr>
      <w:tr>
        <w:trPr>
          <w:cantSplit/>
          <w:trHeight w:val="660" w:hRule="atLeast"/>
        </w:trPr>
        <w:tc>
          <w:tcPr>
            <w:tcW w:type="dxa" w:w="580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Czy podmiot świadczy usługi wspólnie z przedsiębiorstwami powiązanymi lub partnerskimi?</w:t>
            </w:r>
          </w:p>
        </w:tc>
        <w:tc>
          <w:tcPr>
            <w:tcW w:type="dxa" w:w="160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
            </w:r>
          </w:p>
        </w:tc>
        <w:tc>
          <w:tcPr>
            <w:tcW w:type="dxa" w:w="196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
            </w:r>
          </w:p>
        </w:tc>
      </w:tr>
      <w:tr>
        <w:trPr>
          <w:cantSplit/>
          <w:trHeight w:val="780" w:hRule="atLeast"/>
        </w:trPr>
        <w:tc>
          <w:tcPr>
            <w:tcW w:type="dxa" w:w="5800"/>
            <w:tcMar>
              <w:top w:type="dxa" w:w="70"/>
              <w:left w:type="dxa" w:w="100"/>
              <w:bottom w:type="dxa" w:w="70"/>
              <w:right w:type="dxa" w:w="100"/>
            </w:tcMar>
            <w:vAlign w:val="center"/>
          </w:tcPr>
          <w:p>
            <w:pPr>
              <w:spacing w:after="0"/>
            </w:pPr>
            <w:r>
              <w:rPr>
                <w:rFonts w:ascii="Calibri" w:cs="Calibri" w:eastAsia="Calibri" w:hAnsi="Calibri"/>
                <w:b/>
                <w:bCs/>
                <w:color w:val="333333"/>
                <w:sz w:val="20"/>
                <w:szCs w:val="20"/>
              </w:rPr>
              <w:t xml:space="preserve">ROZSTRZYGNIĘCIE: wyłączenie z art. 5 ust. 6 albo 7 ma zastosowanie, jeżeli odpowiedź na pytanie drugie brzmi TAK ALBO odpowiedź na pytanie trzecie brzmi NIE. Ustawa łączy obie przesłanki spójnikiem „lub” — wystarczy jedna z nich.</w:t>
            </w:r>
          </w:p>
        </w:tc>
        <w:tc>
          <w:tcPr>
            <w:tcW w:type="dxa" w:w="1600"/>
            <w:tcMar>
              <w:top w:type="dxa" w:w="70"/>
              <w:left w:type="dxa" w:w="100"/>
              <w:bottom w:type="dxa" w:w="70"/>
              <w:right w:type="dxa" w:w="100"/>
            </w:tcMar>
            <w:vAlign w:val="center"/>
          </w:tcPr>
          <w:p>
            <w:pPr>
              <w:spacing w:after="0"/>
            </w:pPr>
            <w:r>
              <w:rPr>
                <w:rFonts w:ascii="Calibri" w:cs="Calibri" w:eastAsia="Calibri" w:hAnsi="Calibri"/>
                <w:b w:val="false"/>
                <w:bCs w:val="false"/>
                <w:color w:val="333333"/>
                <w:sz w:val="20"/>
                <w:szCs w:val="20"/>
              </w:rPr>
              <w:t xml:space="preserve"/>
            </w:r>
          </w:p>
        </w:tc>
        <w:tc>
          <w:tcPr>
            <w:tcW w:type="dxa" w:w="1960"/>
            <w:tcMar>
              <w:top w:type="dxa" w:w="70"/>
              <w:left w:type="dxa" w:w="100"/>
              <w:bottom w:type="dxa" w:w="70"/>
              <w:right w:type="dxa" w:w="100"/>
            </w:tcMar>
            <w:vAlign w:val="center"/>
          </w:tcPr>
          <w:p>
            <w:pPr>
              <w:spacing w:after="0"/>
            </w:pPr>
            <w:r>
              <w:rPr>
                <w:rFonts w:ascii="Calibri" w:cs="Calibri" w:eastAsia="Calibri" w:hAnsi="Calibri"/>
                <w:b w:val="false"/>
                <w:bCs w:val="false"/>
                <w:color w:val="333333"/>
                <w:sz w:val="20"/>
                <w:szCs w:val="20"/>
              </w:rPr>
              <w:t xml:space="preserve"/>
            </w:r>
          </w:p>
        </w:tc>
      </w:tr>
    </w:tbl>
    <w:p>
      <w:pPr>
        <w:spacing w:after="160"/>
      </w:pPr>
    </w:p>
    <w:tbl>
      <w:tblPr>
        <w:tblW w:type="dxa" w:w="9360"/>
        <w:tblBorders>
          <w:top w:val="single" w:color="C6D2DE" w:sz="4"/>
          <w:left w:val="single" w:color="C6D2DE" w:sz="4"/>
          <w:bottom w:val="single" w:color="C6D2DE" w:sz="4"/>
          <w:right w:val="single" w:color="C6D2DE" w:sz="4"/>
          <w:insideH w:val="single" w:color="C6D2DE" w:sz="4"/>
          <w:insideV w:val="single" w:color="C6D2DE" w:sz="4"/>
        </w:tblBorders>
      </w:tblPr>
      <w:tblGrid>
        <w:gridCol w:w="9360"/>
      </w:tblGrid>
      <w:tr>
        <w:trPr>
          <w:cantSplit/>
          <w:trHeight w:val="560" w:hRule="atLeast"/>
        </w:trPr>
        <w:tc>
          <w:tcPr>
            <w:tcW w:type="dxa" w:w="9360"/>
            <w:shd w:fill="E8EEF4" w:color="auto" w:val="clear"/>
            <w:tcMar>
              <w:top w:type="dxa" w:w="70"/>
              <w:left w:type="dxa" w:w="100"/>
              <w:bottom w:type="dxa" w:w="70"/>
              <w:right w:type="dxa" w:w="100"/>
            </w:tcMar>
            <w:vAlign w:val="center"/>
          </w:tcPr>
          <w:p>
            <w:pPr>
              <w:spacing w:after="0"/>
            </w:pPr>
            <w:r>
              <w:rPr>
                <w:rFonts w:ascii="Calibri" w:cs="Calibri" w:eastAsia="Calibri" w:hAnsi="Calibri"/>
                <w:b/>
                <w:bCs/>
                <w:color w:val="333333"/>
                <w:sz w:val="20"/>
                <w:szCs w:val="20"/>
              </w:rPr>
              <w:t xml:space="preserve">Uzasadnienie oceny niezależności systemów — wskaż konkretnie: wspólna albo odrębna domena katalogowa, wspólne albo odrębne systemy dziedzinowe, wspólna albo odrębna administracja IT, wspólne albo odrębne łącza i zabezpieczenia brzegowe:</w:t>
            </w:r>
          </w:p>
        </w:tc>
      </w:tr>
      <w:tr>
        <w:trPr>
          <w:cantSplit/>
          <w:trHeight w:val="1800" w:hRule="atLeast"/>
        </w:trPr>
        <w:tc>
          <w:tcPr>
            <w:tcW w:type="dxa" w:w="9360"/>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
            </w:r>
          </w:p>
        </w:tc>
      </w:tr>
    </w:tbl>
    <w:p>
      <w:pPr>
        <w:spacing w:after="150"/>
      </w:pPr>
    </w:p>
    <w:tbl>
      <w:tblPr>
        <w:tblW w:type="dxa" w:w="9360"/>
        <w:tblBorders>
          <w:top w:val="single" w:color="C0392B" w:sz="8"/>
          <w:left w:val="single" w:color="C0392B" w:sz="8"/>
          <w:bottom w:val="single" w:color="C0392B" w:sz="8"/>
          <w:right w:val="single" w:color="C0392B" w:sz="8"/>
          <w:insideH w:val="none"/>
          <w:insideV w:val="none"/>
        </w:tblBorders>
      </w:tblPr>
      <w:tblGrid>
        <w:gridCol w:w="9360"/>
      </w:tblGrid>
      <w:tr>
        <w:trPr>
          <w:cantSplit/>
        </w:trPr>
        <w:tc>
          <w:tcPr>
            <w:tcW w:type="dxa" w:w="9360"/>
            <w:shd w:fill="FFF7DB" w:color="auto" w:val="clear"/>
            <w:tcMar>
              <w:top w:type="dxa" w:w="110"/>
              <w:left w:type="dxa" w:w="140"/>
              <w:bottom w:type="dxa" w:w="110"/>
              <w:right w:type="dxa" w:w="140"/>
            </w:tcMar>
          </w:tcPr>
          <w:p>
            <w:r>
              <w:rPr>
                <w:rFonts w:ascii="Calibri" w:cs="Calibri" w:eastAsia="Calibri" w:hAnsi="Calibri"/>
                <w:b/>
                <w:bCs/>
                <w:color w:val="1E2761"/>
                <w:sz w:val="21"/>
                <w:szCs w:val="21"/>
              </w:rPr>
              <w:t xml:space="preserve">Uwaga dowodowa:  </w:t>
            </w:r>
            <w:r>
              <w:rPr>
                <w:rFonts w:ascii="Calibri" w:cs="Calibri" w:eastAsia="Calibri" w:hAnsi="Calibri"/>
                <w:color w:val="333333"/>
                <w:sz w:val="21"/>
                <w:szCs w:val="21"/>
              </w:rPr>
              <w:t xml:space="preserve">To jest ustalenie techniczne, nie deklaracja. Uzasadnij je schematem sieci, wykazem systemów i umową o świadczenie usług IT wewnątrz grupy. Powołanie się na ten przepis bez dokumentacji technicznej nie obroni się przy kontroli.</w:t>
            </w:r>
          </w:p>
        </w:tc>
      </w:tr>
    </w:tbl>
    <w:p>
      <w:pPr>
        <w:spacing w:after="220"/>
      </w:pPr>
    </w:p>
    <w:p>
      <w:pPr>
        <w:pStyle w:val="Heading1"/>
        <w:keepNext/>
        <w:pBdr>
          <w:bottom w:val="single" w:color="1F6FB2" w:sz="8" w:space="4"/>
        </w:pBdr>
        <w:spacing w:after="150" w:before="340"/>
      </w:pPr>
      <w:r>
        <w:rPr>
          <w:rFonts w:ascii="Calibri" w:cs="Calibri" w:eastAsia="Calibri" w:hAnsi="Calibri"/>
          <w:b/>
          <w:bCs/>
          <w:color w:val="1E2761"/>
          <w:sz w:val="26"/>
          <w:szCs w:val="26"/>
        </w:rPr>
        <w:t xml:space="preserve">Krok 7. Rozstrzygnięcie</w:t>
      </w:r>
    </w:p>
    <w:p>
      <w:pPr>
        <w:keepNext/>
        <w:spacing w:after="140" w:before="0"/>
      </w:pPr>
      <w:r>
        <w:rPr>
          <w:rFonts w:ascii="Calibri" w:cs="Calibri" w:eastAsia="Calibri" w:hAnsi="Calibri"/>
          <w:color w:val="333333"/>
          <w:sz w:val="21"/>
          <w:szCs w:val="21"/>
        </w:rPr>
        <w:t xml:space="preserve">Podstawa: art. 5 ust. 4 UoKSC — jeżeli podmiot spełnia wymogi zarówno dla podmiotu kluczowego, jak i dla ważnego, jest podmiotem KLUCZOWYM.</w:t>
      </w:r>
    </w:p>
    <w:tbl>
      <w:tblPr>
        <w:tblW w:type="dxa" w:w="9360"/>
        <w:tblBorders>
          <w:top w:val="single" w:color="C6D2DE" w:sz="4"/>
          <w:left w:val="single" w:color="C6D2DE" w:sz="4"/>
          <w:bottom w:val="single" w:color="C6D2DE" w:sz="4"/>
          <w:right w:val="single" w:color="C6D2DE" w:sz="4"/>
          <w:insideH w:val="single" w:color="C6D2DE" w:sz="4"/>
          <w:insideV w:val="single" w:color="C6D2DE" w:sz="4"/>
        </w:tblBorders>
      </w:tblPr>
      <w:tblGrid>
        <w:gridCol w:w="3100"/>
        <w:gridCol w:w="6260"/>
      </w:tblGrid>
      <w:tr>
        <w:trPr>
          <w:cantSplit/>
          <w:trHeight w:val="620" w:hRule="atLeast"/>
        </w:trPr>
        <w:tc>
          <w:tcPr>
            <w:tcW w:type="dxa" w:w="3100"/>
            <w:shd w:fill="E8EEF4" w:color="auto" w:val="clear"/>
            <w:tcMar>
              <w:top w:type="dxa" w:w="70"/>
              <w:left w:type="dxa" w:w="100"/>
              <w:bottom w:type="dxa" w:w="70"/>
              <w:right w:type="dxa" w:w="100"/>
            </w:tcMar>
            <w:vAlign w:val="center"/>
          </w:tcPr>
          <w:p>
            <w:pPr>
              <w:spacing w:after="0"/>
            </w:pPr>
            <w:r>
              <w:rPr>
                <w:rFonts w:ascii="Calibri" w:cs="Calibri" w:eastAsia="Calibri" w:hAnsi="Calibri"/>
                <w:b/>
                <w:bCs/>
                <w:color w:val="333333"/>
                <w:sz w:val="20"/>
                <w:szCs w:val="20"/>
              </w:rPr>
              <w:t xml:space="preserve">Ustalona kategoria</w:t>
            </w:r>
          </w:p>
        </w:tc>
        <w:tc>
          <w:tcPr>
            <w:tcW w:type="dxa" w:w="6260"/>
            <w:shd w:fill="E8EEF4" w:color="auto" w:val="clear"/>
            <w:tcMar>
              <w:top w:type="dxa" w:w="70"/>
              <w:left w:type="dxa" w:w="100"/>
              <w:bottom w:type="dxa" w:w="70"/>
              <w:right w:type="dxa" w:w="100"/>
            </w:tcMar>
            <w:vAlign w:val="center"/>
          </w:tcPr>
          <w:p>
            <w:pPr>
              <w:spacing w:after="0"/>
            </w:pPr>
            <w:r>
              <w:rPr>
                <w:rFonts w:ascii="Calibri" w:cs="Calibri" w:eastAsia="Calibri" w:hAnsi="Calibri"/>
                <w:b w:val="false"/>
                <w:bCs w:val="false"/>
                <w:color w:val="333333"/>
                <w:sz w:val="20"/>
                <w:szCs w:val="20"/>
              </w:rPr>
              <w:t xml:space="preserve">podmiot kluczowy ☐      podmiot ważny ☐      poza zakresem ☐</w:t>
            </w:r>
          </w:p>
        </w:tc>
      </w:tr>
      <w:tr>
        <w:trPr>
          <w:cantSplit/>
          <w:trHeight w:val="620" w:hRule="atLeast"/>
        </w:trPr>
        <w:tc>
          <w:tcPr>
            <w:tcW w:type="dxa" w:w="3100"/>
            <w:tcMar>
              <w:top w:type="dxa" w:w="70"/>
              <w:left w:type="dxa" w:w="100"/>
              <w:bottom w:type="dxa" w:w="70"/>
              <w:right w:type="dxa" w:w="100"/>
            </w:tcMar>
            <w:vAlign w:val="center"/>
          </w:tcPr>
          <w:p>
            <w:pPr>
              <w:spacing w:after="0"/>
            </w:pPr>
            <w:r>
              <w:rPr>
                <w:rFonts w:ascii="Calibri" w:cs="Calibri" w:eastAsia="Calibri" w:hAnsi="Calibri"/>
                <w:b/>
                <w:bCs/>
                <w:color w:val="333333"/>
                <w:sz w:val="20"/>
                <w:szCs w:val="20"/>
              </w:rPr>
              <w:t xml:space="preserve">Podstawa prawna ustalenia (jednostka redakcyjna art. 5)</w:t>
            </w:r>
          </w:p>
        </w:tc>
        <w:tc>
          <w:tcPr>
            <w:tcW w:type="dxa" w:w="6260"/>
            <w:tcMar>
              <w:top w:type="dxa" w:w="70"/>
              <w:left w:type="dxa" w:w="100"/>
              <w:bottom w:type="dxa" w:w="70"/>
              <w:right w:type="dxa" w:w="100"/>
            </w:tcMar>
            <w:vAlign w:val="center"/>
          </w:tcPr>
          <w:p>
            <w:pPr>
              <w:spacing w:after="0"/>
            </w:pPr>
            <w:r>
              <w:rPr>
                <w:rFonts w:ascii="Calibri" w:cs="Calibri" w:eastAsia="Calibri" w:hAnsi="Calibri"/>
                <w:b w:val="false"/>
                <w:bCs w:val="false"/>
                <w:color w:val="333333"/>
                <w:sz w:val="20"/>
                <w:szCs w:val="20"/>
              </w:rPr>
              <w:t xml:space="preserve"/>
            </w:r>
          </w:p>
        </w:tc>
      </w:tr>
      <w:tr>
        <w:trPr>
          <w:cantSplit/>
          <w:trHeight w:val="620" w:hRule="atLeast"/>
        </w:trPr>
        <w:tc>
          <w:tcPr>
            <w:tcW w:type="dxa" w:w="3100"/>
            <w:shd w:fill="F2F5F8" w:color="auto" w:val="clear"/>
            <w:tcMar>
              <w:top w:type="dxa" w:w="70"/>
              <w:left w:type="dxa" w:w="100"/>
              <w:bottom w:type="dxa" w:w="70"/>
              <w:right w:type="dxa" w:w="100"/>
            </w:tcMar>
            <w:vAlign w:val="center"/>
          </w:tcPr>
          <w:p>
            <w:pPr>
              <w:spacing w:after="0"/>
            </w:pPr>
            <w:r>
              <w:rPr>
                <w:rFonts w:ascii="Calibri" w:cs="Calibri" w:eastAsia="Calibri" w:hAnsi="Calibri"/>
                <w:b/>
                <w:bCs/>
                <w:color w:val="333333"/>
                <w:sz w:val="20"/>
                <w:szCs w:val="20"/>
              </w:rPr>
              <w:t xml:space="preserve">Sektor, podsektor i rodzaj podmiotu wg załącznika</w:t>
            </w:r>
          </w:p>
        </w:tc>
        <w:tc>
          <w:tcPr>
            <w:tcW w:type="dxa" w:w="6260"/>
            <w:shd w:fill="F2F5F8" w:color="auto" w:val="clear"/>
            <w:tcMar>
              <w:top w:type="dxa" w:w="70"/>
              <w:left w:type="dxa" w:w="100"/>
              <w:bottom w:type="dxa" w:w="70"/>
              <w:right w:type="dxa" w:w="100"/>
            </w:tcMar>
            <w:vAlign w:val="center"/>
          </w:tcPr>
          <w:p>
            <w:pPr>
              <w:spacing w:after="0"/>
            </w:pPr>
            <w:r>
              <w:rPr>
                <w:rFonts w:ascii="Calibri" w:cs="Calibri" w:eastAsia="Calibri" w:hAnsi="Calibri"/>
                <w:b w:val="false"/>
                <w:bCs w:val="false"/>
                <w:color w:val="333333"/>
                <w:sz w:val="20"/>
                <w:szCs w:val="20"/>
              </w:rPr>
              <w:t xml:space="preserve"/>
            </w:r>
          </w:p>
        </w:tc>
      </w:tr>
      <w:tr>
        <w:trPr>
          <w:cantSplit/>
          <w:trHeight w:val="620" w:hRule="atLeast"/>
        </w:trPr>
        <w:tc>
          <w:tcPr>
            <w:tcW w:type="dxa" w:w="3100"/>
            <w:tcMar>
              <w:top w:type="dxa" w:w="70"/>
              <w:left w:type="dxa" w:w="100"/>
              <w:bottom w:type="dxa" w:w="70"/>
              <w:right w:type="dxa" w:w="100"/>
            </w:tcMar>
            <w:vAlign w:val="center"/>
          </w:tcPr>
          <w:p>
            <w:pPr>
              <w:spacing w:after="0"/>
            </w:pPr>
            <w:r>
              <w:rPr>
                <w:rFonts w:ascii="Calibri" w:cs="Calibri" w:eastAsia="Calibri" w:hAnsi="Calibri"/>
                <w:b/>
                <w:bCs/>
                <w:color w:val="333333"/>
                <w:sz w:val="20"/>
                <w:szCs w:val="20"/>
              </w:rPr>
              <w:t xml:space="preserve">Dzień spełnienia przesłanek uznania za podmiot kluczowy / ważny</w:t>
            </w:r>
          </w:p>
        </w:tc>
        <w:tc>
          <w:tcPr>
            <w:tcW w:type="dxa" w:w="6260"/>
            <w:tcMar>
              <w:top w:type="dxa" w:w="70"/>
              <w:left w:type="dxa" w:w="100"/>
              <w:bottom w:type="dxa" w:w="70"/>
              <w:right w:type="dxa" w:w="100"/>
            </w:tcMar>
            <w:vAlign w:val="center"/>
          </w:tcPr>
          <w:p>
            <w:pPr>
              <w:spacing w:after="0"/>
            </w:pPr>
            <w:r>
              <w:rPr>
                <w:rFonts w:ascii="Calibri" w:cs="Calibri" w:eastAsia="Calibri" w:hAnsi="Calibri"/>
                <w:b w:val="false"/>
                <w:bCs w:val="false"/>
                <w:color w:val="333333"/>
                <w:sz w:val="20"/>
                <w:szCs w:val="20"/>
              </w:rPr>
              <w:t xml:space="preserve"/>
            </w:r>
          </w:p>
        </w:tc>
      </w:tr>
    </w:tbl>
    <w:p>
      <w:pPr>
        <w:spacing w:after="160"/>
      </w:pPr>
    </w:p>
    <w:tbl>
      <w:tblPr>
        <w:tblW w:type="dxa" w:w="9360"/>
        <w:tblBorders>
          <w:top w:val="single" w:color="C6D2DE" w:sz="4"/>
          <w:left w:val="single" w:color="C6D2DE" w:sz="4"/>
          <w:bottom w:val="single" w:color="C6D2DE" w:sz="4"/>
          <w:right w:val="single" w:color="C6D2DE" w:sz="4"/>
          <w:insideH w:val="single" w:color="C6D2DE" w:sz="4"/>
          <w:insideV w:val="single" w:color="C6D2DE" w:sz="4"/>
        </w:tblBorders>
      </w:tblPr>
      <w:tblGrid>
        <w:gridCol w:w="9360"/>
      </w:tblGrid>
      <w:tr>
        <w:trPr>
          <w:cantSplit/>
          <w:trHeight w:val="560" w:hRule="atLeast"/>
        </w:trPr>
        <w:tc>
          <w:tcPr>
            <w:tcW w:type="dxa" w:w="9360"/>
            <w:shd w:fill="E8EEF4" w:color="auto" w:val="clear"/>
            <w:tcMar>
              <w:top w:type="dxa" w:w="70"/>
              <w:left w:type="dxa" w:w="100"/>
              <w:bottom w:type="dxa" w:w="70"/>
              <w:right w:type="dxa" w:w="100"/>
            </w:tcMar>
            <w:vAlign w:val="center"/>
          </w:tcPr>
          <w:p>
            <w:pPr>
              <w:spacing w:after="0"/>
            </w:pPr>
            <w:r>
              <w:rPr>
                <w:rFonts w:ascii="Calibri" w:cs="Calibri" w:eastAsia="Calibri" w:hAnsi="Calibri"/>
                <w:b/>
                <w:bCs/>
                <w:color w:val="333333"/>
                <w:sz w:val="20"/>
                <w:szCs w:val="20"/>
              </w:rPr>
              <w:t xml:space="preserve">Uzasadnienie rozstrzygnięcia (2–4 zdania, w formie przedstawianej kierownikowi podmiotu do zatwierdzenia):</w:t>
            </w:r>
          </w:p>
        </w:tc>
      </w:tr>
      <w:tr>
        <w:trPr>
          <w:cantSplit/>
          <w:trHeight w:val="1800" w:hRule="atLeast"/>
        </w:trPr>
        <w:tc>
          <w:tcPr>
            <w:tcW w:type="dxa" w:w="9360"/>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
            </w:r>
          </w:p>
        </w:tc>
      </w:tr>
    </w:tbl>
    <w:p>
      <w:pPr>
        <w:spacing w:after="160"/>
      </w:pPr>
    </w:p>
    <w:tbl>
      <w:tblPr>
        <w:tblW w:type="dxa" w:w="9360"/>
        <w:tblBorders>
          <w:top w:val="single" w:color="C97A1F" w:sz="8"/>
          <w:left w:val="single" w:color="C97A1F" w:sz="8"/>
          <w:bottom w:val="single" w:color="C97A1F" w:sz="8"/>
          <w:right w:val="single" w:color="C97A1F" w:sz="8"/>
          <w:insideH w:val="none"/>
          <w:insideV w:val="none"/>
        </w:tblBorders>
      </w:tblPr>
      <w:tblGrid>
        <w:gridCol w:w="9360"/>
      </w:tblGrid>
      <w:tr>
        <w:trPr>
          <w:cantSplit/>
        </w:trPr>
        <w:tc>
          <w:tcPr>
            <w:tcW w:type="dxa" w:w="9360"/>
            <w:shd w:fill="FFF7DB" w:color="auto" w:val="clear"/>
            <w:tcMar>
              <w:top w:type="dxa" w:w="110"/>
              <w:left w:type="dxa" w:w="140"/>
              <w:bottom w:type="dxa" w:w="110"/>
              <w:right w:type="dxa" w:w="140"/>
            </w:tcMar>
          </w:tcPr>
          <w:p>
            <w:r>
              <w:rPr>
                <w:rFonts w:ascii="Calibri" w:cs="Calibri" w:eastAsia="Calibri" w:hAnsi="Calibri"/>
                <w:b/>
                <w:bCs/>
                <w:color w:val="1E2761"/>
                <w:sz w:val="21"/>
                <w:szCs w:val="21"/>
              </w:rPr>
              <w:t xml:space="preserve">Dlaczego „dzień spełnienia przesłanek” jest polem obowiązkowym:  </w:t>
            </w:r>
            <w:r>
              <w:rPr>
                <w:rFonts w:ascii="Calibri" w:cs="Calibri" w:eastAsia="Calibri" w:hAnsi="Calibri"/>
                <w:color w:val="333333"/>
                <w:sz w:val="21"/>
                <w:szCs w:val="21"/>
              </w:rPr>
              <w:t xml:space="preserve">Od tej daty ustawa liczy wszystkie terminy: 6 miesięcy na złożenie wniosku o wpis (art. 7c ust. 1), 12 miesięcy na realizację obowiązków rozdziału 3 oraz 24 miesiące na pierwszy audyt podmiotu kluczowego (art. 16). Bez ustalonej i udokumentowanej daty nie da się wykazać dochowania żadnego z tych terminów.</w:t>
            </w:r>
          </w:p>
        </w:tc>
      </w:tr>
    </w:tbl>
    <w:p>
      <w:pPr>
        <w:spacing w:after="220"/>
      </w:pPr>
    </w:p>
    <w:p>
      <w:pPr>
        <w:pStyle w:val="Heading1"/>
        <w:keepNext/>
        <w:pBdr>
          <w:bottom w:val="single" w:color="1F6FB2" w:sz="8" w:space="4"/>
        </w:pBdr>
        <w:spacing w:after="150" w:before="340"/>
      </w:pPr>
      <w:r>
        <w:rPr>
          <w:rFonts w:ascii="Calibri" w:cs="Calibri" w:eastAsia="Calibri" w:hAnsi="Calibri"/>
          <w:b/>
          <w:bCs/>
          <w:color w:val="1E2761"/>
          <w:sz w:val="26"/>
          <w:szCs w:val="26"/>
        </w:rPr>
        <w:t xml:space="preserve">Krok 8. Terminy wynikające z ustalonej kategorii</w:t>
      </w:r>
    </w:p>
    <w:p>
      <w:pPr>
        <w:keepNext/>
        <w:spacing w:after="130" w:before="0"/>
      </w:pPr>
      <w:r>
        <w:rPr>
          <w:rFonts w:ascii="Calibri" w:cs="Calibri" w:eastAsia="Calibri" w:hAnsi="Calibri"/>
          <w:i/>
          <w:iCs/>
          <w:color w:val="5A6B7C"/>
          <w:sz w:val="21"/>
          <w:szCs w:val="21"/>
        </w:rPr>
        <w:t xml:space="preserve">Podstawa: art. 7c ust. 1 i 3, art. 8e ust. 1, art. 15 ust. 1 oraz art. 16 UoKSC; art. 33 i 34 ustawy zmieniającej.</w:t>
      </w:r>
    </w:p>
    <w:tbl>
      <w:tblPr>
        <w:tblW w:type="dxa" w:w="9360"/>
        <w:tblBorders>
          <w:top w:val="single" w:color="C6D2DE" w:sz="4"/>
          <w:left w:val="single" w:color="C6D2DE" w:sz="4"/>
          <w:bottom w:val="single" w:color="C6D2DE" w:sz="4"/>
          <w:right w:val="single" w:color="C6D2DE" w:sz="4"/>
          <w:insideH w:val="single" w:color="C6D2DE" w:sz="4"/>
          <w:insideV w:val="single" w:color="C6D2DE" w:sz="4"/>
        </w:tblBorders>
      </w:tblPr>
      <w:tblGrid>
        <w:gridCol w:w="2400"/>
        <w:gridCol w:w="1700"/>
        <w:gridCol w:w="3100"/>
        <w:gridCol w:w="2160"/>
      </w:tblGrid>
      <w:tr>
        <w:trPr>
          <w:cantSplit/>
          <w:tblHeader/>
        </w:trPr>
        <w:tc>
          <w:tcPr>
            <w:tcW w:type="dxa" w:w="2400"/>
            <w:shd w:fill="1E276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7"/>
                <w:szCs w:val="17"/>
              </w:rPr>
              <w:t xml:space="preserve">Obowiązek</w:t>
            </w:r>
          </w:p>
        </w:tc>
        <w:tc>
          <w:tcPr>
            <w:tcW w:type="dxa" w:w="1700"/>
            <w:shd w:fill="1E276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7"/>
                <w:szCs w:val="17"/>
              </w:rPr>
              <w:t xml:space="preserve">Termin ustawowy</w:t>
            </w:r>
          </w:p>
        </w:tc>
        <w:tc>
          <w:tcPr>
            <w:tcW w:type="dxa" w:w="3100"/>
            <w:shd w:fill="1E276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7"/>
                <w:szCs w:val="17"/>
              </w:rPr>
              <w:t xml:space="preserve">Liczony od</w:t>
            </w:r>
          </w:p>
        </w:tc>
        <w:tc>
          <w:tcPr>
            <w:tcW w:type="dxa" w:w="2160"/>
            <w:shd w:fill="1E276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7"/>
                <w:szCs w:val="17"/>
              </w:rPr>
              <w:t xml:space="preserve">Data dla naszego podmiotu</w:t>
            </w:r>
          </w:p>
        </w:tc>
      </w:tr>
      <w:tr>
        <w:trPr>
          <w:cantSplit/>
          <w:trHeight w:val="620" w:hRule="atLeast"/>
        </w:trPr>
        <w:tc>
          <w:tcPr>
            <w:tcW w:type="dxa" w:w="240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Złożenie wniosku o wpis do wykazu</w:t>
            </w:r>
          </w:p>
        </w:tc>
        <w:tc>
          <w:tcPr>
            <w:tcW w:type="dxa" w:w="170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6 miesięcy</w:t>
            </w:r>
          </w:p>
        </w:tc>
        <w:tc>
          <w:tcPr>
            <w:tcW w:type="dxa" w:w="310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dnia spełnienia przesłanek uznania za podmiot kluczowy lub ważny (art. 7c ust. 1)</w:t>
            </w:r>
          </w:p>
        </w:tc>
        <w:tc>
          <w:tcPr>
            <w:tcW w:type="dxa" w:w="216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
            </w:r>
          </w:p>
        </w:tc>
      </w:tr>
      <w:tr>
        <w:trPr>
          <w:cantSplit/>
          <w:trHeight w:val="700" w:hRule="atLeast"/>
        </w:trPr>
        <w:tc>
          <w:tcPr>
            <w:tcW w:type="dxa" w:w="2400"/>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Realizacja obowiązków rozdziału 3 (środki z art. 8, dokumentacja, obsługa incydentów)</w:t>
            </w:r>
          </w:p>
        </w:tc>
        <w:tc>
          <w:tcPr>
            <w:tcW w:type="dxa" w:w="1700"/>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12 miesięcy</w:t>
            </w:r>
          </w:p>
        </w:tc>
        <w:tc>
          <w:tcPr>
            <w:tcW w:type="dxa" w:w="3100"/>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dnia spełnienia przesłanek (art. 16 pkt 1)</w:t>
            </w:r>
          </w:p>
        </w:tc>
        <w:tc>
          <w:tcPr>
            <w:tcW w:type="dxa" w:w="2160"/>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
            </w:r>
          </w:p>
        </w:tc>
      </w:tr>
      <w:tr>
        <w:trPr>
          <w:cantSplit/>
          <w:trHeight w:val="620" w:hRule="atLeast"/>
        </w:trPr>
        <w:tc>
          <w:tcPr>
            <w:tcW w:type="dxa" w:w="240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Pierwszy audyt bezpieczeństwa — dotyczy wyłącznie podmiotu kluczowego</w:t>
            </w:r>
          </w:p>
        </w:tc>
        <w:tc>
          <w:tcPr>
            <w:tcW w:type="dxa" w:w="170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24 miesiące</w:t>
            </w:r>
          </w:p>
        </w:tc>
        <w:tc>
          <w:tcPr>
            <w:tcW w:type="dxa" w:w="310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dnia spełnienia przesłanek (art. 16 pkt 2)</w:t>
            </w:r>
          </w:p>
        </w:tc>
        <w:tc>
          <w:tcPr>
            <w:tcW w:type="dxa" w:w="216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
            </w:r>
          </w:p>
        </w:tc>
      </w:tr>
      <w:tr>
        <w:trPr>
          <w:cantSplit/>
          <w:trHeight w:val="620" w:hRule="atLeast"/>
        </w:trPr>
        <w:tc>
          <w:tcPr>
            <w:tcW w:type="dxa" w:w="2400"/>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Kolejne audyty — podmiot kluczowy</w:t>
            </w:r>
          </w:p>
        </w:tc>
        <w:tc>
          <w:tcPr>
            <w:tcW w:type="dxa" w:w="1700"/>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co najmniej raz na 3 lata</w:t>
            </w:r>
          </w:p>
        </w:tc>
        <w:tc>
          <w:tcPr>
            <w:tcW w:type="dxa" w:w="3100"/>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dnia sporządzenia i podpisania raportu z ostatniego audytu (art. 15 ust. 1)</w:t>
            </w:r>
          </w:p>
        </w:tc>
        <w:tc>
          <w:tcPr>
            <w:tcW w:type="dxa" w:w="2160"/>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
            </w:r>
          </w:p>
        </w:tc>
      </w:tr>
      <w:tr>
        <w:trPr>
          <w:cantSplit/>
          <w:trHeight w:val="660" w:hRule="atLeast"/>
        </w:trPr>
        <w:tc>
          <w:tcPr>
            <w:tcW w:type="dxa" w:w="240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Wniosek o zmianę wpisu przy zmianie danych</w:t>
            </w:r>
          </w:p>
        </w:tc>
        <w:tc>
          <w:tcPr>
            <w:tcW w:type="dxa" w:w="170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14 dni</w:t>
            </w:r>
          </w:p>
        </w:tc>
        <w:tc>
          <w:tcPr>
            <w:tcW w:type="dxa" w:w="310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dnia zmiany danych (art. 7c ust. 3)</w:t>
            </w:r>
          </w:p>
        </w:tc>
        <w:tc>
          <w:tcPr>
            <w:tcW w:type="dxa" w:w="216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
            </w:r>
          </w:p>
        </w:tc>
      </w:tr>
      <w:tr>
        <w:trPr>
          <w:cantSplit/>
          <w:trHeight w:val="780" w:hRule="atLeast"/>
        </w:trPr>
        <w:tc>
          <w:tcPr>
            <w:tcW w:type="dxa" w:w="2400"/>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Szkolenie kierownika podmiotu i osoby, której powierzono obowiązki kierownika w zakresie cyberbezpieczeństwa (art. 8e ust. 1; udział musi być udokumentowany — ust. 3)</w:t>
            </w:r>
          </w:p>
        </w:tc>
        <w:tc>
          <w:tcPr>
            <w:tcW w:type="dxa" w:w="1700"/>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raz w roku kalendarzowym</w:t>
            </w:r>
          </w:p>
        </w:tc>
        <w:tc>
          <w:tcPr>
            <w:tcW w:type="dxa" w:w="3100"/>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każdego roku kalendarzowego, niezależnie od daty spełnienia przesłanek</w:t>
            </w:r>
          </w:p>
        </w:tc>
        <w:tc>
          <w:tcPr>
            <w:tcW w:type="dxa" w:w="2160"/>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
            </w:r>
          </w:p>
        </w:tc>
      </w:tr>
    </w:tbl>
    <w:p>
      <w:pPr>
        <w:spacing w:after="180"/>
      </w:pPr>
    </w:p>
    <w:tbl>
      <w:tblPr>
        <w:tblW w:type="dxa" w:w="9360"/>
        <w:tblBorders>
          <w:top w:val="single" w:color="028090" w:sz="8"/>
          <w:left w:val="single" w:color="028090" w:sz="8"/>
          <w:bottom w:val="single" w:color="028090" w:sz="8"/>
          <w:right w:val="single" w:color="028090" w:sz="8"/>
          <w:insideH w:val="none"/>
          <w:insideV w:val="none"/>
        </w:tblBorders>
      </w:tblPr>
      <w:tblGrid>
        <w:gridCol w:w="9360"/>
      </w:tblGrid>
      <w:tr>
        <w:trPr>
          <w:cantSplit/>
        </w:trPr>
        <w:tc>
          <w:tcPr>
            <w:tcW w:type="dxa" w:w="9360"/>
            <w:shd w:fill="F2F5F8" w:color="auto" w:val="clear"/>
            <w:tcMar>
              <w:top w:type="dxa" w:w="110"/>
              <w:left w:type="dxa" w:w="140"/>
              <w:bottom w:type="dxa" w:w="110"/>
              <w:right w:type="dxa" w:w="140"/>
            </w:tcMar>
          </w:tcPr>
          <w:p>
            <w:r>
              <w:rPr>
                <w:rFonts w:ascii="Calibri" w:cs="Calibri" w:eastAsia="Calibri" w:hAnsi="Calibri"/>
                <w:b/>
                <w:bCs/>
                <w:color w:val="1E2761"/>
                <w:sz w:val="21"/>
                <w:szCs w:val="21"/>
              </w:rPr>
              <w:t xml:space="preserve">Podmioty istniejące w dniu wejścia w życie nowelizacji:  </w:t>
            </w:r>
            <w:r>
              <w:rPr>
                <w:rFonts w:ascii="Calibri" w:cs="Calibri" w:eastAsia="Calibri" w:hAnsi="Calibri"/>
                <w:color w:val="333333"/>
                <w:sz w:val="21"/>
                <w:szCs w:val="21"/>
              </w:rPr>
              <w:t xml:space="preserve">Dla podmiotów, które spełniały przesłanki już 3 kwietnia 2026 r., terminy 12 i 24 miesięcy liczy się od DNIA WEJŚCIA W ŻYCIE ustawy, a nie od dnia spełnienia przesłanek (art. 33 ust. 1 i 2 ustawy zmieniającej). Wniosek o wpis składa się natomiast zgodnie z harmonogramem ogłoszonym komunikatem Ministra Cyfryzacji (art. 33 ust. 3 w związku z art. 34 ust. 3 pkt 1) — okno na złożenie wniosków ustalono na 7 maja – 3 października 2026 r. Podmioty będące wcześniej operatorami usług kluczowych zgłaszają incydenty poważne według nowych zasad w terminie 6 miesięcy od wejścia w życie (art. 33 ust. 4).</w:t>
            </w:r>
          </w:p>
        </w:tc>
      </w:tr>
    </w:tbl>
    <w:p>
      <w:pPr>
        <w:spacing w:after="180"/>
      </w:pPr>
    </w:p>
    <w:tbl>
      <w:tblPr>
        <w:tblW w:type="dxa" w:w="9360"/>
        <w:tblBorders>
          <w:top w:val="single" w:color="C97A1F" w:sz="8"/>
          <w:left w:val="single" w:color="C97A1F" w:sz="8"/>
          <w:bottom w:val="single" w:color="C97A1F" w:sz="8"/>
          <w:right w:val="single" w:color="C97A1F" w:sz="8"/>
          <w:insideH w:val="none"/>
          <w:insideV w:val="none"/>
        </w:tblBorders>
      </w:tblPr>
      <w:tblGrid>
        <w:gridCol w:w="9360"/>
      </w:tblGrid>
      <w:tr>
        <w:trPr>
          <w:cantSplit/>
        </w:trPr>
        <w:tc>
          <w:tcPr>
            <w:tcW w:type="dxa" w:w="9360"/>
            <w:shd w:fill="FFF7DB" w:color="auto" w:val="clear"/>
            <w:tcMar>
              <w:top w:type="dxa" w:w="110"/>
              <w:left w:type="dxa" w:w="140"/>
              <w:bottom w:type="dxa" w:w="110"/>
              <w:right w:type="dxa" w:w="140"/>
            </w:tcMar>
          </w:tcPr>
          <w:p>
            <w:r>
              <w:rPr>
                <w:rFonts w:ascii="Calibri" w:cs="Calibri" w:eastAsia="Calibri" w:hAnsi="Calibri"/>
                <w:b/>
                <w:bCs/>
                <w:color w:val="1E2761"/>
                <w:sz w:val="21"/>
                <w:szCs w:val="21"/>
              </w:rPr>
              <w:t xml:space="preserve">Wpis z urzędu — sprawdź, zanim złożysz wniosek:  </w:t>
            </w:r>
            <w:r>
              <w:rPr>
                <w:rFonts w:ascii="Calibri" w:cs="Calibri" w:eastAsia="Calibri" w:hAnsi="Calibri"/>
                <w:color w:val="333333"/>
                <w:sz w:val="21"/>
                <w:szCs w:val="21"/>
              </w:rPr>
              <w:t xml:space="preserve">Przedsiębiorcy telekomunikacyjni, dostawcy usług zaufania, podmioty publiczne i podmioty krytyczne są wpisywani do wykazu Z URZĘDU na podstawie danych z rejestrów publicznych (art. 7a ust. 2). Otrzymują zawiadomienie o wpisie oraz wezwanie do uzupełnienia brakujących danych w terminie 6 miesięcy od doręczenia, pod rygorem kary pieniężnej (art. 7b ust. 1 i 2). Odrębnie: dotychczasowi operatorzy usług kluczowych, wpisani do poprzedniego wykazu przed wejściem w życie nowelizacji, zostają przeniesieni do nowego wykazu z urzędu (art. 34 ust. 2).</w:t>
            </w:r>
          </w:p>
        </w:tc>
      </w:tr>
    </w:tbl>
    <w:p>
      <w:pPr>
        <w:spacing w:after="220"/>
      </w:pPr>
    </w:p>
    <w:p>
      <w:pPr>
        <w:pStyle w:val="Heading1"/>
        <w:keepNext/>
        <w:pBdr>
          <w:bottom w:val="single" w:color="1F6FB2" w:sz="8" w:space="4"/>
        </w:pBdr>
        <w:spacing w:after="150" w:before="340"/>
      </w:pPr>
      <w:r>
        <w:rPr>
          <w:rFonts w:ascii="Calibri" w:cs="Calibri" w:eastAsia="Calibri" w:hAnsi="Calibri"/>
          <w:b/>
          <w:bCs/>
          <w:color w:val="1E2761"/>
          <w:sz w:val="26"/>
          <w:szCs w:val="26"/>
        </w:rPr>
        <w:t xml:space="preserve">Krok 9. Dane do wniosku o wpis do wykazu</w:t>
      </w:r>
    </w:p>
    <w:p>
      <w:pPr>
        <w:keepNext/>
        <w:spacing w:after="140" w:before="0"/>
      </w:pPr>
      <w:r>
        <w:rPr>
          <w:rFonts w:ascii="Calibri" w:cs="Calibri" w:eastAsia="Calibri" w:hAnsi="Calibri"/>
          <w:color w:val="333333"/>
          <w:sz w:val="21"/>
          <w:szCs w:val="21"/>
        </w:rPr>
        <w:t xml:space="preserve">Podstawa: art. 7c ust. 2 w związku z art. 7 ust. 2 pkt 1–18 UoKSC. Zbierz te dane, zanim otworzysz formularz w systemie — część z nich wymaga decyzji, a nie tylko odczytu z rejestru. Pozycje 15–18 dotyczą przypadków szczególnych; wypełnij je tylko wtedy, gdy Cię dotyczą.</w:t>
      </w:r>
    </w:p>
    <w:tbl>
      <w:tblPr>
        <w:tblW w:type="dxa" w:w="9360"/>
        <w:tblBorders>
          <w:top w:val="single" w:color="C6D2DE" w:sz="4"/>
          <w:left w:val="single" w:color="C6D2DE" w:sz="4"/>
          <w:bottom w:val="single" w:color="C6D2DE" w:sz="4"/>
          <w:right w:val="single" w:color="C6D2DE" w:sz="4"/>
          <w:insideH w:val="single" w:color="C6D2DE" w:sz="4"/>
          <w:insideV w:val="single" w:color="C6D2DE" w:sz="4"/>
        </w:tblBorders>
      </w:tblPr>
      <w:tblGrid>
        <w:gridCol w:w="620"/>
        <w:gridCol w:w="5200"/>
        <w:gridCol w:w="1600"/>
        <w:gridCol w:w="1940"/>
      </w:tblGrid>
      <w:tr>
        <w:trPr>
          <w:cantSplit/>
          <w:tblHeader/>
        </w:trPr>
        <w:tc>
          <w:tcPr>
            <w:tcW w:type="dxa" w:w="620"/>
            <w:shd w:fill="1E276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7"/>
                <w:szCs w:val="17"/>
              </w:rPr>
              <w:t xml:space="preserve">Lp.</w:t>
            </w:r>
          </w:p>
        </w:tc>
        <w:tc>
          <w:tcPr>
            <w:tcW w:type="dxa" w:w="5200"/>
            <w:shd w:fill="1E276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7"/>
                <w:szCs w:val="17"/>
              </w:rPr>
              <w:t xml:space="preserve">Dana wymagana przez ustawę</w:t>
            </w:r>
          </w:p>
        </w:tc>
        <w:tc>
          <w:tcPr>
            <w:tcW w:type="dxa" w:w="1600"/>
            <w:shd w:fill="1E276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7"/>
                <w:szCs w:val="17"/>
              </w:rPr>
              <w:t xml:space="preserve">Zebrana (TAK/NIE)</w:t>
            </w:r>
          </w:p>
        </w:tc>
        <w:tc>
          <w:tcPr>
            <w:tcW w:type="dxa" w:w="1940"/>
            <w:shd w:fill="1E276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7"/>
                <w:szCs w:val="17"/>
              </w:rPr>
              <w:t xml:space="preserve">Kto dostarcza</w:t>
            </w:r>
          </w:p>
        </w:tc>
      </w:tr>
      <w:tr>
        <w:trPr>
          <w:cantSplit/>
          <w:trHeight w:val="660" w:hRule="atLeast"/>
        </w:trPr>
        <w:tc>
          <w:tcPr>
            <w:tcW w:type="dxa" w:w="620"/>
            <w:tcMar>
              <w:top w:type="dxa" w:w="70"/>
              <w:left w:type="dxa" w:w="100"/>
              <w:bottom w:type="dxa" w:w="70"/>
              <w:right w:type="dxa" w:w="100"/>
            </w:tcMar>
            <w:vAlign w:val="center"/>
          </w:tcPr>
          <w:p>
            <w:pPr>
              <w:spacing w:after="0"/>
            </w:pPr>
            <w:r>
              <w:rPr>
                <w:rFonts w:ascii="Calibri" w:cs="Calibri" w:eastAsia="Calibri" w:hAnsi="Calibri"/>
                <w:color w:val="333333"/>
                <w:sz w:val="17"/>
                <w:szCs w:val="17"/>
              </w:rPr>
              <w:t xml:space="preserve">1</w:t>
            </w:r>
          </w:p>
        </w:tc>
        <w:tc>
          <w:tcPr>
            <w:tcW w:type="dxa" w:w="5200"/>
            <w:tcMar>
              <w:top w:type="dxa" w:w="70"/>
              <w:left w:type="dxa" w:w="100"/>
              <w:bottom w:type="dxa" w:w="70"/>
              <w:right w:type="dxa" w:w="100"/>
            </w:tcMar>
            <w:vAlign w:val="center"/>
          </w:tcPr>
          <w:p>
            <w:pPr>
              <w:spacing w:after="0"/>
            </w:pPr>
            <w:r>
              <w:rPr>
                <w:rFonts w:ascii="Calibri" w:cs="Calibri" w:eastAsia="Calibri" w:hAnsi="Calibri"/>
                <w:color w:val="333333"/>
                <w:sz w:val="17"/>
                <w:szCs w:val="17"/>
              </w:rPr>
              <w:t xml:space="preserve">Nazwa (firma) podmiotu</w:t>
            </w:r>
          </w:p>
        </w:tc>
        <w:tc>
          <w:tcPr>
            <w:tcW w:type="dxa" w:w="1600"/>
            <w:tcMar>
              <w:top w:type="dxa" w:w="70"/>
              <w:left w:type="dxa" w:w="100"/>
              <w:bottom w:type="dxa" w:w="70"/>
              <w:right w:type="dxa" w:w="100"/>
            </w:tcMar>
            <w:vAlign w:val="center"/>
          </w:tcPr>
          <w:p>
            <w:pPr>
              <w:spacing w:after="0"/>
            </w:pPr>
            <w:r>
              <w:rPr>
                <w:rFonts w:ascii="Calibri" w:cs="Calibri" w:eastAsia="Calibri" w:hAnsi="Calibri"/>
                <w:color w:val="333333"/>
                <w:sz w:val="17"/>
                <w:szCs w:val="17"/>
              </w:rPr>
              <w:t xml:space="preserve"/>
            </w:r>
          </w:p>
        </w:tc>
        <w:tc>
          <w:tcPr>
            <w:tcW w:type="dxa" w:w="1940"/>
            <w:tcMar>
              <w:top w:type="dxa" w:w="70"/>
              <w:left w:type="dxa" w:w="100"/>
              <w:bottom w:type="dxa" w:w="70"/>
              <w:right w:type="dxa" w:w="100"/>
            </w:tcMar>
            <w:vAlign w:val="center"/>
          </w:tcPr>
          <w:p>
            <w:pPr>
              <w:spacing w:after="0"/>
            </w:pPr>
            <w:r>
              <w:rPr>
                <w:rFonts w:ascii="Calibri" w:cs="Calibri" w:eastAsia="Calibri" w:hAnsi="Calibri"/>
                <w:color w:val="333333"/>
                <w:sz w:val="17"/>
                <w:szCs w:val="17"/>
              </w:rPr>
              <w:t xml:space="preserve"/>
            </w:r>
          </w:p>
        </w:tc>
      </w:tr>
      <w:tr>
        <w:trPr>
          <w:cantSplit/>
          <w:trHeight w:val="660" w:hRule="atLeast"/>
        </w:trPr>
        <w:tc>
          <w:tcPr>
            <w:tcW w:type="dxa" w:w="62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17"/>
                <w:szCs w:val="17"/>
              </w:rPr>
              <w:t xml:space="preserve">2</w:t>
            </w:r>
          </w:p>
        </w:tc>
        <w:tc>
          <w:tcPr>
            <w:tcW w:type="dxa" w:w="520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17"/>
                <w:szCs w:val="17"/>
              </w:rPr>
              <w:t xml:space="preserve">Sektor, podsektor i rodzaj lub rodzaje podmiotu, zgodnie z Załącznikiem nr 1 lub nr 2</w:t>
            </w:r>
          </w:p>
        </w:tc>
        <w:tc>
          <w:tcPr>
            <w:tcW w:type="dxa" w:w="160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17"/>
                <w:szCs w:val="17"/>
              </w:rPr>
              <w:t xml:space="preserve"/>
            </w:r>
          </w:p>
        </w:tc>
        <w:tc>
          <w:tcPr>
            <w:tcW w:type="dxa" w:w="194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17"/>
                <w:szCs w:val="17"/>
              </w:rPr>
              <w:t xml:space="preserve"/>
            </w:r>
          </w:p>
        </w:tc>
      </w:tr>
      <w:tr>
        <w:trPr>
          <w:cantSplit/>
          <w:trHeight w:val="660" w:hRule="atLeast"/>
        </w:trPr>
        <w:tc>
          <w:tcPr>
            <w:tcW w:type="dxa" w:w="620"/>
            <w:tcMar>
              <w:top w:type="dxa" w:w="70"/>
              <w:left w:type="dxa" w:w="100"/>
              <w:bottom w:type="dxa" w:w="70"/>
              <w:right w:type="dxa" w:w="100"/>
            </w:tcMar>
            <w:vAlign w:val="center"/>
          </w:tcPr>
          <w:p>
            <w:pPr>
              <w:spacing w:after="0"/>
            </w:pPr>
            <w:r>
              <w:rPr>
                <w:rFonts w:ascii="Calibri" w:cs="Calibri" w:eastAsia="Calibri" w:hAnsi="Calibri"/>
                <w:color w:val="333333"/>
                <w:sz w:val="17"/>
                <w:szCs w:val="17"/>
              </w:rPr>
              <w:t xml:space="preserve">3</w:t>
            </w:r>
          </w:p>
        </w:tc>
        <w:tc>
          <w:tcPr>
            <w:tcW w:type="dxa" w:w="5200"/>
            <w:tcMar>
              <w:top w:type="dxa" w:w="70"/>
              <w:left w:type="dxa" w:w="100"/>
              <w:bottom w:type="dxa" w:w="70"/>
              <w:right w:type="dxa" w:w="100"/>
            </w:tcMar>
            <w:vAlign w:val="center"/>
          </w:tcPr>
          <w:p>
            <w:pPr>
              <w:spacing w:after="0"/>
            </w:pPr>
            <w:r>
              <w:rPr>
                <w:rFonts w:ascii="Calibri" w:cs="Calibri" w:eastAsia="Calibri" w:hAnsi="Calibri"/>
                <w:color w:val="333333"/>
                <w:sz w:val="17"/>
                <w:szCs w:val="17"/>
              </w:rPr>
              <w:t xml:space="preserve">Adres siedziby i adres do korespondencji</w:t>
            </w:r>
          </w:p>
        </w:tc>
        <w:tc>
          <w:tcPr>
            <w:tcW w:type="dxa" w:w="1600"/>
            <w:tcMar>
              <w:top w:type="dxa" w:w="70"/>
              <w:left w:type="dxa" w:w="100"/>
              <w:bottom w:type="dxa" w:w="70"/>
              <w:right w:type="dxa" w:w="100"/>
            </w:tcMar>
            <w:vAlign w:val="center"/>
          </w:tcPr>
          <w:p>
            <w:pPr>
              <w:spacing w:after="0"/>
            </w:pPr>
            <w:r>
              <w:rPr>
                <w:rFonts w:ascii="Calibri" w:cs="Calibri" w:eastAsia="Calibri" w:hAnsi="Calibri"/>
                <w:color w:val="333333"/>
                <w:sz w:val="17"/>
                <w:szCs w:val="17"/>
              </w:rPr>
              <w:t xml:space="preserve"/>
            </w:r>
          </w:p>
        </w:tc>
        <w:tc>
          <w:tcPr>
            <w:tcW w:type="dxa" w:w="1940"/>
            <w:tcMar>
              <w:top w:type="dxa" w:w="70"/>
              <w:left w:type="dxa" w:w="100"/>
              <w:bottom w:type="dxa" w:w="70"/>
              <w:right w:type="dxa" w:w="100"/>
            </w:tcMar>
            <w:vAlign w:val="center"/>
          </w:tcPr>
          <w:p>
            <w:pPr>
              <w:spacing w:after="0"/>
            </w:pPr>
            <w:r>
              <w:rPr>
                <w:rFonts w:ascii="Calibri" w:cs="Calibri" w:eastAsia="Calibri" w:hAnsi="Calibri"/>
                <w:color w:val="333333"/>
                <w:sz w:val="17"/>
                <w:szCs w:val="17"/>
              </w:rPr>
              <w:t xml:space="preserve"/>
            </w:r>
          </w:p>
        </w:tc>
      </w:tr>
      <w:tr>
        <w:trPr>
          <w:cantSplit/>
          <w:trHeight w:val="660" w:hRule="atLeast"/>
        </w:trPr>
        <w:tc>
          <w:tcPr>
            <w:tcW w:type="dxa" w:w="62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17"/>
                <w:szCs w:val="17"/>
              </w:rPr>
              <w:t xml:space="preserve">4</w:t>
            </w:r>
          </w:p>
        </w:tc>
        <w:tc>
          <w:tcPr>
            <w:tcW w:type="dxa" w:w="520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17"/>
                <w:szCs w:val="17"/>
              </w:rPr>
              <w:t xml:space="preserve">Adres do doręczeń elektronicznych, jeżeli został wpisany do bazy adresów elektronicznych</w:t>
            </w:r>
          </w:p>
        </w:tc>
        <w:tc>
          <w:tcPr>
            <w:tcW w:type="dxa" w:w="160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17"/>
                <w:szCs w:val="17"/>
              </w:rPr>
              <w:t xml:space="preserve"/>
            </w:r>
          </w:p>
        </w:tc>
        <w:tc>
          <w:tcPr>
            <w:tcW w:type="dxa" w:w="194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17"/>
                <w:szCs w:val="17"/>
              </w:rPr>
              <w:t xml:space="preserve"/>
            </w:r>
          </w:p>
        </w:tc>
      </w:tr>
      <w:tr>
        <w:trPr>
          <w:cantSplit/>
          <w:trHeight w:val="660" w:hRule="atLeast"/>
        </w:trPr>
        <w:tc>
          <w:tcPr>
            <w:tcW w:type="dxa" w:w="620"/>
            <w:tcMar>
              <w:top w:type="dxa" w:w="70"/>
              <w:left w:type="dxa" w:w="100"/>
              <w:bottom w:type="dxa" w:w="70"/>
              <w:right w:type="dxa" w:w="100"/>
            </w:tcMar>
            <w:vAlign w:val="center"/>
          </w:tcPr>
          <w:p>
            <w:pPr>
              <w:spacing w:after="0"/>
            </w:pPr>
            <w:r>
              <w:rPr>
                <w:rFonts w:ascii="Calibri" w:cs="Calibri" w:eastAsia="Calibri" w:hAnsi="Calibri"/>
                <w:color w:val="333333"/>
                <w:sz w:val="17"/>
                <w:szCs w:val="17"/>
              </w:rPr>
              <w:t xml:space="preserve">5</w:t>
            </w:r>
          </w:p>
        </w:tc>
        <w:tc>
          <w:tcPr>
            <w:tcW w:type="dxa" w:w="5200"/>
            <w:tcMar>
              <w:top w:type="dxa" w:w="70"/>
              <w:left w:type="dxa" w:w="100"/>
              <w:bottom w:type="dxa" w:w="70"/>
              <w:right w:type="dxa" w:w="100"/>
            </w:tcMar>
            <w:vAlign w:val="center"/>
          </w:tcPr>
          <w:p>
            <w:pPr>
              <w:spacing w:after="0"/>
            </w:pPr>
            <w:r>
              <w:rPr>
                <w:rFonts w:ascii="Calibri" w:cs="Calibri" w:eastAsia="Calibri" w:hAnsi="Calibri"/>
                <w:color w:val="333333"/>
                <w:sz w:val="17"/>
                <w:szCs w:val="17"/>
              </w:rPr>
              <w:t xml:space="preserve">Adres poczty elektronicznej</w:t>
            </w:r>
          </w:p>
        </w:tc>
        <w:tc>
          <w:tcPr>
            <w:tcW w:type="dxa" w:w="1600"/>
            <w:tcMar>
              <w:top w:type="dxa" w:w="70"/>
              <w:left w:type="dxa" w:w="100"/>
              <w:bottom w:type="dxa" w:w="70"/>
              <w:right w:type="dxa" w:w="100"/>
            </w:tcMar>
            <w:vAlign w:val="center"/>
          </w:tcPr>
          <w:p>
            <w:pPr>
              <w:spacing w:after="0"/>
            </w:pPr>
            <w:r>
              <w:rPr>
                <w:rFonts w:ascii="Calibri" w:cs="Calibri" w:eastAsia="Calibri" w:hAnsi="Calibri"/>
                <w:color w:val="333333"/>
                <w:sz w:val="17"/>
                <w:szCs w:val="17"/>
              </w:rPr>
              <w:t xml:space="preserve"/>
            </w:r>
          </w:p>
        </w:tc>
        <w:tc>
          <w:tcPr>
            <w:tcW w:type="dxa" w:w="1940"/>
            <w:tcMar>
              <w:top w:type="dxa" w:w="70"/>
              <w:left w:type="dxa" w:w="100"/>
              <w:bottom w:type="dxa" w:w="70"/>
              <w:right w:type="dxa" w:w="100"/>
            </w:tcMar>
            <w:vAlign w:val="center"/>
          </w:tcPr>
          <w:p>
            <w:pPr>
              <w:spacing w:after="0"/>
            </w:pPr>
            <w:r>
              <w:rPr>
                <w:rFonts w:ascii="Calibri" w:cs="Calibri" w:eastAsia="Calibri" w:hAnsi="Calibri"/>
                <w:color w:val="333333"/>
                <w:sz w:val="17"/>
                <w:szCs w:val="17"/>
              </w:rPr>
              <w:t xml:space="preserve"/>
            </w:r>
          </w:p>
        </w:tc>
      </w:tr>
      <w:tr>
        <w:trPr>
          <w:cantSplit/>
          <w:trHeight w:val="660" w:hRule="atLeast"/>
        </w:trPr>
        <w:tc>
          <w:tcPr>
            <w:tcW w:type="dxa" w:w="62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17"/>
                <w:szCs w:val="17"/>
              </w:rPr>
              <w:t xml:space="preserve">6</w:t>
            </w:r>
          </w:p>
        </w:tc>
        <w:tc>
          <w:tcPr>
            <w:tcW w:type="dxa" w:w="520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17"/>
                <w:szCs w:val="17"/>
              </w:rPr>
              <w:t xml:space="preserve">Numer identyfikacji podatkowej (NIP), jeżeli został nadany</w:t>
            </w:r>
          </w:p>
        </w:tc>
        <w:tc>
          <w:tcPr>
            <w:tcW w:type="dxa" w:w="160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17"/>
                <w:szCs w:val="17"/>
              </w:rPr>
              <w:t xml:space="preserve"/>
            </w:r>
          </w:p>
        </w:tc>
        <w:tc>
          <w:tcPr>
            <w:tcW w:type="dxa" w:w="194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17"/>
                <w:szCs w:val="17"/>
              </w:rPr>
              <w:t xml:space="preserve"/>
            </w:r>
          </w:p>
        </w:tc>
      </w:tr>
      <w:tr>
        <w:trPr>
          <w:cantSplit/>
          <w:trHeight w:val="660" w:hRule="atLeast"/>
        </w:trPr>
        <w:tc>
          <w:tcPr>
            <w:tcW w:type="dxa" w:w="620"/>
            <w:tcMar>
              <w:top w:type="dxa" w:w="70"/>
              <w:left w:type="dxa" w:w="100"/>
              <w:bottom w:type="dxa" w:w="70"/>
              <w:right w:type="dxa" w:w="100"/>
            </w:tcMar>
            <w:vAlign w:val="center"/>
          </w:tcPr>
          <w:p>
            <w:pPr>
              <w:spacing w:after="0"/>
            </w:pPr>
            <w:r>
              <w:rPr>
                <w:rFonts w:ascii="Calibri" w:cs="Calibri" w:eastAsia="Calibri" w:hAnsi="Calibri"/>
                <w:color w:val="333333"/>
                <w:sz w:val="17"/>
                <w:szCs w:val="17"/>
              </w:rPr>
              <w:t xml:space="preserve">7</w:t>
            </w:r>
          </w:p>
        </w:tc>
        <w:tc>
          <w:tcPr>
            <w:tcW w:type="dxa" w:w="5200"/>
            <w:tcMar>
              <w:top w:type="dxa" w:w="70"/>
              <w:left w:type="dxa" w:w="100"/>
              <w:bottom w:type="dxa" w:w="70"/>
              <w:right w:type="dxa" w:w="100"/>
            </w:tcMar>
            <w:vAlign w:val="center"/>
          </w:tcPr>
          <w:p>
            <w:pPr>
              <w:spacing w:after="0"/>
            </w:pPr>
            <w:r>
              <w:rPr>
                <w:rFonts w:ascii="Calibri" w:cs="Calibri" w:eastAsia="Calibri" w:hAnsi="Calibri"/>
                <w:color w:val="333333"/>
                <w:sz w:val="17"/>
                <w:szCs w:val="17"/>
              </w:rPr>
              <w:t xml:space="preserve">Numer REGON, jeżeli został nadany</w:t>
            </w:r>
          </w:p>
        </w:tc>
        <w:tc>
          <w:tcPr>
            <w:tcW w:type="dxa" w:w="1600"/>
            <w:tcMar>
              <w:top w:type="dxa" w:w="70"/>
              <w:left w:type="dxa" w:w="100"/>
              <w:bottom w:type="dxa" w:w="70"/>
              <w:right w:type="dxa" w:w="100"/>
            </w:tcMar>
            <w:vAlign w:val="center"/>
          </w:tcPr>
          <w:p>
            <w:pPr>
              <w:spacing w:after="0"/>
            </w:pPr>
            <w:r>
              <w:rPr>
                <w:rFonts w:ascii="Calibri" w:cs="Calibri" w:eastAsia="Calibri" w:hAnsi="Calibri"/>
                <w:color w:val="333333"/>
                <w:sz w:val="17"/>
                <w:szCs w:val="17"/>
              </w:rPr>
              <w:t xml:space="preserve"/>
            </w:r>
          </w:p>
        </w:tc>
        <w:tc>
          <w:tcPr>
            <w:tcW w:type="dxa" w:w="1940"/>
            <w:tcMar>
              <w:top w:type="dxa" w:w="70"/>
              <w:left w:type="dxa" w:w="100"/>
              <w:bottom w:type="dxa" w:w="70"/>
              <w:right w:type="dxa" w:w="100"/>
            </w:tcMar>
            <w:vAlign w:val="center"/>
          </w:tcPr>
          <w:p>
            <w:pPr>
              <w:spacing w:after="0"/>
            </w:pPr>
            <w:r>
              <w:rPr>
                <w:rFonts w:ascii="Calibri" w:cs="Calibri" w:eastAsia="Calibri" w:hAnsi="Calibri"/>
                <w:color w:val="333333"/>
                <w:sz w:val="17"/>
                <w:szCs w:val="17"/>
              </w:rPr>
              <w:t xml:space="preserve"/>
            </w:r>
          </w:p>
        </w:tc>
      </w:tr>
      <w:tr>
        <w:trPr>
          <w:cantSplit/>
          <w:trHeight w:val="660" w:hRule="atLeast"/>
        </w:trPr>
        <w:tc>
          <w:tcPr>
            <w:tcW w:type="dxa" w:w="62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17"/>
                <w:szCs w:val="17"/>
              </w:rPr>
              <w:t xml:space="preserve">8</w:t>
            </w:r>
          </w:p>
        </w:tc>
        <w:tc>
          <w:tcPr>
            <w:tcW w:type="dxa" w:w="520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17"/>
                <w:szCs w:val="17"/>
              </w:rPr>
              <w:t xml:space="preserve">Numer we właściwym rejestrze działalności regulowanej, jeżeli został nadany</w:t>
            </w:r>
          </w:p>
        </w:tc>
        <w:tc>
          <w:tcPr>
            <w:tcW w:type="dxa" w:w="160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17"/>
                <w:szCs w:val="17"/>
              </w:rPr>
              <w:t xml:space="preserve"/>
            </w:r>
          </w:p>
        </w:tc>
        <w:tc>
          <w:tcPr>
            <w:tcW w:type="dxa" w:w="194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17"/>
                <w:szCs w:val="17"/>
              </w:rPr>
              <w:t xml:space="preserve"/>
            </w:r>
          </w:p>
        </w:tc>
      </w:tr>
      <w:tr>
        <w:trPr>
          <w:cantSplit/>
          <w:trHeight w:val="660" w:hRule="atLeast"/>
        </w:trPr>
        <w:tc>
          <w:tcPr>
            <w:tcW w:type="dxa" w:w="620"/>
            <w:tcMar>
              <w:top w:type="dxa" w:w="70"/>
              <w:left w:type="dxa" w:w="100"/>
              <w:bottom w:type="dxa" w:w="70"/>
              <w:right w:type="dxa" w:w="100"/>
            </w:tcMar>
            <w:vAlign w:val="center"/>
          </w:tcPr>
          <w:p>
            <w:pPr>
              <w:spacing w:after="0"/>
            </w:pPr>
            <w:r>
              <w:rPr>
                <w:rFonts w:ascii="Calibri" w:cs="Calibri" w:eastAsia="Calibri" w:hAnsi="Calibri"/>
                <w:color w:val="333333"/>
                <w:sz w:val="17"/>
                <w:szCs w:val="17"/>
              </w:rPr>
              <w:t xml:space="preserve">9</w:t>
            </w:r>
          </w:p>
        </w:tc>
        <w:tc>
          <w:tcPr>
            <w:tcW w:type="dxa" w:w="5200"/>
            <w:tcMar>
              <w:top w:type="dxa" w:w="70"/>
              <w:left w:type="dxa" w:w="100"/>
              <w:bottom w:type="dxa" w:w="70"/>
              <w:right w:type="dxa" w:w="100"/>
            </w:tcMar>
            <w:vAlign w:val="center"/>
          </w:tcPr>
          <w:p>
            <w:pPr>
              <w:spacing w:after="0"/>
            </w:pPr>
            <w:r>
              <w:rPr>
                <w:rFonts w:ascii="Calibri" w:cs="Calibri" w:eastAsia="Calibri" w:hAnsi="Calibri"/>
                <w:color w:val="333333"/>
                <w:sz w:val="17"/>
                <w:szCs w:val="17"/>
              </w:rPr>
              <w:t xml:space="preserve">Zakres publicznych adresów IP wykorzystywanych w sposób ciągły</w:t>
            </w:r>
          </w:p>
        </w:tc>
        <w:tc>
          <w:tcPr>
            <w:tcW w:type="dxa" w:w="1600"/>
            <w:tcMar>
              <w:top w:type="dxa" w:w="70"/>
              <w:left w:type="dxa" w:w="100"/>
              <w:bottom w:type="dxa" w:w="70"/>
              <w:right w:type="dxa" w:w="100"/>
            </w:tcMar>
            <w:vAlign w:val="center"/>
          </w:tcPr>
          <w:p>
            <w:pPr>
              <w:spacing w:after="0"/>
            </w:pPr>
            <w:r>
              <w:rPr>
                <w:rFonts w:ascii="Calibri" w:cs="Calibri" w:eastAsia="Calibri" w:hAnsi="Calibri"/>
                <w:color w:val="333333"/>
                <w:sz w:val="17"/>
                <w:szCs w:val="17"/>
              </w:rPr>
              <w:t xml:space="preserve"/>
            </w:r>
          </w:p>
        </w:tc>
        <w:tc>
          <w:tcPr>
            <w:tcW w:type="dxa" w:w="1940"/>
            <w:tcMar>
              <w:top w:type="dxa" w:w="70"/>
              <w:left w:type="dxa" w:w="100"/>
              <w:bottom w:type="dxa" w:w="70"/>
              <w:right w:type="dxa" w:w="100"/>
            </w:tcMar>
            <w:vAlign w:val="center"/>
          </w:tcPr>
          <w:p>
            <w:pPr>
              <w:spacing w:after="0"/>
            </w:pPr>
            <w:r>
              <w:rPr>
                <w:rFonts w:ascii="Calibri" w:cs="Calibri" w:eastAsia="Calibri" w:hAnsi="Calibri"/>
                <w:color w:val="333333"/>
                <w:sz w:val="17"/>
                <w:szCs w:val="17"/>
              </w:rPr>
              <w:t xml:space="preserve"/>
            </w:r>
          </w:p>
        </w:tc>
      </w:tr>
      <w:tr>
        <w:trPr>
          <w:cantSplit/>
          <w:trHeight w:val="660" w:hRule="atLeast"/>
        </w:trPr>
        <w:tc>
          <w:tcPr>
            <w:tcW w:type="dxa" w:w="62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17"/>
                <w:szCs w:val="17"/>
              </w:rPr>
              <w:t xml:space="preserve">10</w:t>
            </w:r>
          </w:p>
        </w:tc>
        <w:tc>
          <w:tcPr>
            <w:tcW w:type="dxa" w:w="520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17"/>
                <w:szCs w:val="17"/>
              </w:rPr>
              <w:t xml:space="preserve">Domeny internetowe wykorzystywane w sposób ciągły</w:t>
            </w:r>
          </w:p>
        </w:tc>
        <w:tc>
          <w:tcPr>
            <w:tcW w:type="dxa" w:w="160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17"/>
                <w:szCs w:val="17"/>
              </w:rPr>
              <w:t xml:space="preserve"/>
            </w:r>
          </w:p>
        </w:tc>
        <w:tc>
          <w:tcPr>
            <w:tcW w:type="dxa" w:w="194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17"/>
                <w:szCs w:val="17"/>
              </w:rPr>
              <w:t xml:space="preserve"/>
            </w:r>
          </w:p>
        </w:tc>
      </w:tr>
      <w:tr>
        <w:trPr>
          <w:cantSplit/>
          <w:trHeight w:val="660" w:hRule="atLeast"/>
        </w:trPr>
        <w:tc>
          <w:tcPr>
            <w:tcW w:type="dxa" w:w="620"/>
            <w:tcMar>
              <w:top w:type="dxa" w:w="70"/>
              <w:left w:type="dxa" w:w="100"/>
              <w:bottom w:type="dxa" w:w="70"/>
              <w:right w:type="dxa" w:w="100"/>
            </w:tcMar>
            <w:vAlign w:val="center"/>
          </w:tcPr>
          <w:p>
            <w:pPr>
              <w:spacing w:after="0"/>
            </w:pPr>
            <w:r>
              <w:rPr>
                <w:rFonts w:ascii="Calibri" w:cs="Calibri" w:eastAsia="Calibri" w:hAnsi="Calibri"/>
                <w:color w:val="333333"/>
                <w:sz w:val="17"/>
                <w:szCs w:val="17"/>
              </w:rPr>
              <w:t xml:space="preserve">11</w:t>
            </w:r>
          </w:p>
        </w:tc>
        <w:tc>
          <w:tcPr>
            <w:tcW w:type="dxa" w:w="5200"/>
            <w:tcMar>
              <w:top w:type="dxa" w:w="70"/>
              <w:left w:type="dxa" w:w="100"/>
              <w:bottom w:type="dxa" w:w="70"/>
              <w:right w:type="dxa" w:w="100"/>
            </w:tcMar>
            <w:vAlign w:val="center"/>
          </w:tcPr>
          <w:p>
            <w:pPr>
              <w:spacing w:after="0"/>
            </w:pPr>
            <w:r>
              <w:rPr>
                <w:rFonts w:ascii="Calibri" w:cs="Calibri" w:eastAsia="Calibri" w:hAnsi="Calibri"/>
                <w:color w:val="333333"/>
                <w:sz w:val="17"/>
                <w:szCs w:val="17"/>
              </w:rPr>
              <w:t xml:space="preserve">Dane osób do kontaktu: imię i nazwisko, telefon służbowy, służbowy adres e-mail; dla administratora konta podmiotu dodatkowo PESEL albo identyfikator środka identyfikacji elektronicznej</w:t>
            </w:r>
          </w:p>
        </w:tc>
        <w:tc>
          <w:tcPr>
            <w:tcW w:type="dxa" w:w="1600"/>
            <w:tcMar>
              <w:top w:type="dxa" w:w="70"/>
              <w:left w:type="dxa" w:w="100"/>
              <w:bottom w:type="dxa" w:w="70"/>
              <w:right w:type="dxa" w:w="100"/>
            </w:tcMar>
            <w:vAlign w:val="center"/>
          </w:tcPr>
          <w:p>
            <w:pPr>
              <w:spacing w:after="0"/>
            </w:pPr>
            <w:r>
              <w:rPr>
                <w:rFonts w:ascii="Calibri" w:cs="Calibri" w:eastAsia="Calibri" w:hAnsi="Calibri"/>
                <w:color w:val="333333"/>
                <w:sz w:val="17"/>
                <w:szCs w:val="17"/>
              </w:rPr>
              <w:t xml:space="preserve"/>
            </w:r>
          </w:p>
        </w:tc>
        <w:tc>
          <w:tcPr>
            <w:tcW w:type="dxa" w:w="1940"/>
            <w:tcMar>
              <w:top w:type="dxa" w:w="70"/>
              <w:left w:type="dxa" w:w="100"/>
              <w:bottom w:type="dxa" w:w="70"/>
              <w:right w:type="dxa" w:w="100"/>
            </w:tcMar>
            <w:vAlign w:val="center"/>
          </w:tcPr>
          <w:p>
            <w:pPr>
              <w:spacing w:after="0"/>
            </w:pPr>
            <w:r>
              <w:rPr>
                <w:rFonts w:ascii="Calibri" w:cs="Calibri" w:eastAsia="Calibri" w:hAnsi="Calibri"/>
                <w:color w:val="333333"/>
                <w:sz w:val="17"/>
                <w:szCs w:val="17"/>
              </w:rPr>
              <w:t xml:space="preserve"/>
            </w:r>
          </w:p>
        </w:tc>
      </w:tr>
      <w:tr>
        <w:trPr>
          <w:cantSplit/>
          <w:trHeight w:val="660" w:hRule="atLeast"/>
        </w:trPr>
        <w:tc>
          <w:tcPr>
            <w:tcW w:type="dxa" w:w="62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17"/>
                <w:szCs w:val="17"/>
              </w:rPr>
              <w:t xml:space="preserve">12</w:t>
            </w:r>
          </w:p>
        </w:tc>
        <w:tc>
          <w:tcPr>
            <w:tcW w:type="dxa" w:w="520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17"/>
                <w:szCs w:val="17"/>
              </w:rPr>
              <w:t xml:space="preserve">Numer telefonu przyporządkowany do wykonywanej działalności</w:t>
            </w:r>
          </w:p>
        </w:tc>
        <w:tc>
          <w:tcPr>
            <w:tcW w:type="dxa" w:w="160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17"/>
                <w:szCs w:val="17"/>
              </w:rPr>
              <w:t xml:space="preserve"/>
            </w:r>
          </w:p>
        </w:tc>
        <w:tc>
          <w:tcPr>
            <w:tcW w:type="dxa" w:w="194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17"/>
                <w:szCs w:val="17"/>
              </w:rPr>
              <w:t xml:space="preserve"/>
            </w:r>
          </w:p>
        </w:tc>
      </w:tr>
      <w:tr>
        <w:trPr>
          <w:cantSplit/>
          <w:trHeight w:val="660" w:hRule="atLeast"/>
        </w:trPr>
        <w:tc>
          <w:tcPr>
            <w:tcW w:type="dxa" w:w="620"/>
            <w:tcMar>
              <w:top w:type="dxa" w:w="70"/>
              <w:left w:type="dxa" w:w="100"/>
              <w:bottom w:type="dxa" w:w="70"/>
              <w:right w:type="dxa" w:w="100"/>
            </w:tcMar>
            <w:vAlign w:val="center"/>
          </w:tcPr>
          <w:p>
            <w:pPr>
              <w:spacing w:after="0"/>
            </w:pPr>
            <w:r>
              <w:rPr>
                <w:rFonts w:ascii="Calibri" w:cs="Calibri" w:eastAsia="Calibri" w:hAnsi="Calibri"/>
                <w:color w:val="333333"/>
                <w:sz w:val="17"/>
                <w:szCs w:val="17"/>
              </w:rPr>
              <w:t xml:space="preserve">13</w:t>
            </w:r>
          </w:p>
        </w:tc>
        <w:tc>
          <w:tcPr>
            <w:tcW w:type="dxa" w:w="5200"/>
            <w:tcMar>
              <w:top w:type="dxa" w:w="70"/>
              <w:left w:type="dxa" w:w="100"/>
              <w:bottom w:type="dxa" w:w="70"/>
              <w:right w:type="dxa" w:w="100"/>
            </w:tcMar>
            <w:vAlign w:val="center"/>
          </w:tcPr>
          <w:p>
            <w:pPr>
              <w:spacing w:after="0"/>
            </w:pPr>
            <w:r>
              <w:rPr>
                <w:rFonts w:ascii="Calibri" w:cs="Calibri" w:eastAsia="Calibri" w:hAnsi="Calibri"/>
                <w:color w:val="333333"/>
                <w:sz w:val="17"/>
                <w:szCs w:val="17"/>
              </w:rPr>
              <w:t xml:space="preserve">Deklaracja, czy podmiot spełnia kryteria mikro-, małego albo średniego przedsiębiorcy, czy je przekracza</w:t>
            </w:r>
          </w:p>
        </w:tc>
        <w:tc>
          <w:tcPr>
            <w:tcW w:type="dxa" w:w="1600"/>
            <w:tcMar>
              <w:top w:type="dxa" w:w="70"/>
              <w:left w:type="dxa" w:w="100"/>
              <w:bottom w:type="dxa" w:w="70"/>
              <w:right w:type="dxa" w:w="100"/>
            </w:tcMar>
            <w:vAlign w:val="center"/>
          </w:tcPr>
          <w:p>
            <w:pPr>
              <w:spacing w:after="0"/>
            </w:pPr>
            <w:r>
              <w:rPr>
                <w:rFonts w:ascii="Calibri" w:cs="Calibri" w:eastAsia="Calibri" w:hAnsi="Calibri"/>
                <w:color w:val="333333"/>
                <w:sz w:val="17"/>
                <w:szCs w:val="17"/>
              </w:rPr>
              <w:t xml:space="preserve"/>
            </w:r>
          </w:p>
        </w:tc>
        <w:tc>
          <w:tcPr>
            <w:tcW w:type="dxa" w:w="1940"/>
            <w:tcMar>
              <w:top w:type="dxa" w:w="70"/>
              <w:left w:type="dxa" w:w="100"/>
              <w:bottom w:type="dxa" w:w="70"/>
              <w:right w:type="dxa" w:w="100"/>
            </w:tcMar>
            <w:vAlign w:val="center"/>
          </w:tcPr>
          <w:p>
            <w:pPr>
              <w:spacing w:after="0"/>
            </w:pPr>
            <w:r>
              <w:rPr>
                <w:rFonts w:ascii="Calibri" w:cs="Calibri" w:eastAsia="Calibri" w:hAnsi="Calibri"/>
                <w:color w:val="333333"/>
                <w:sz w:val="17"/>
                <w:szCs w:val="17"/>
              </w:rPr>
              <w:t xml:space="preserve"/>
            </w:r>
          </w:p>
        </w:tc>
      </w:tr>
      <w:tr>
        <w:trPr>
          <w:cantSplit/>
          <w:trHeight w:val="660" w:hRule="atLeast"/>
        </w:trPr>
        <w:tc>
          <w:tcPr>
            <w:tcW w:type="dxa" w:w="62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17"/>
                <w:szCs w:val="17"/>
              </w:rPr>
              <w:t xml:space="preserve">14</w:t>
            </w:r>
          </w:p>
        </w:tc>
        <w:tc>
          <w:tcPr>
            <w:tcW w:type="dxa" w:w="520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17"/>
                <w:szCs w:val="17"/>
              </w:rPr>
              <w:t xml:space="preserve">Informacja, w których państwach członkowskich UE podmiot wykonuje działalność, wraz z rodzajem działalności</w:t>
            </w:r>
          </w:p>
        </w:tc>
        <w:tc>
          <w:tcPr>
            <w:tcW w:type="dxa" w:w="160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17"/>
                <w:szCs w:val="17"/>
              </w:rPr>
              <w:t xml:space="preserve"/>
            </w:r>
          </w:p>
        </w:tc>
        <w:tc>
          <w:tcPr>
            <w:tcW w:type="dxa" w:w="194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17"/>
                <w:szCs w:val="17"/>
              </w:rPr>
              <w:t xml:space="preserve"/>
            </w:r>
          </w:p>
        </w:tc>
      </w:tr>
      <w:tr>
        <w:trPr>
          <w:cantSplit/>
          <w:trHeight w:val="660" w:hRule="atLeast"/>
        </w:trPr>
        <w:tc>
          <w:tcPr>
            <w:tcW w:type="dxa" w:w="620"/>
            <w:tcMar>
              <w:top w:type="dxa" w:w="70"/>
              <w:left w:type="dxa" w:w="100"/>
              <w:bottom w:type="dxa" w:w="70"/>
              <w:right w:type="dxa" w:w="100"/>
            </w:tcMar>
            <w:vAlign w:val="center"/>
          </w:tcPr>
          <w:p>
            <w:pPr>
              <w:spacing w:after="0"/>
            </w:pPr>
            <w:r>
              <w:rPr>
                <w:rFonts w:ascii="Calibri" w:cs="Calibri" w:eastAsia="Calibri" w:hAnsi="Calibri"/>
                <w:color w:val="333333"/>
                <w:sz w:val="17"/>
                <w:szCs w:val="17"/>
              </w:rPr>
              <w:t xml:space="preserve">15</w:t>
            </w:r>
          </w:p>
        </w:tc>
        <w:tc>
          <w:tcPr>
            <w:tcW w:type="dxa" w:w="5200"/>
            <w:tcMar>
              <w:top w:type="dxa" w:w="70"/>
              <w:left w:type="dxa" w:w="100"/>
              <w:bottom w:type="dxa" w:w="70"/>
              <w:right w:type="dxa" w:w="100"/>
            </w:tcMar>
            <w:vAlign w:val="center"/>
          </w:tcPr>
          <w:p>
            <w:pPr>
              <w:spacing w:after="0"/>
            </w:pPr>
            <w:r>
              <w:rPr>
                <w:rFonts w:ascii="Calibri" w:cs="Calibri" w:eastAsia="Calibri" w:hAnsi="Calibri"/>
                <w:color w:val="333333"/>
                <w:sz w:val="17"/>
                <w:szCs w:val="17"/>
              </w:rPr>
              <w:t xml:space="preserve">TYLKO DLA PODMIOTÓW CYFROWYCH (dostawca usług DNS, rejestr TLD, podmiot świadczący usługi rejestracji nazw domen, dostawca chmury, centrum przetwarzania danych, CDN, dostawca usług zarządzanych, MSSP, internetowa platforma handlowa, wyszukiwarka, platforma sieci społecznościowych): główne miejsce prowadzenia działalności ustalone zgodnie z art. 5a ust. 3–6</w:t>
            </w:r>
          </w:p>
        </w:tc>
        <w:tc>
          <w:tcPr>
            <w:tcW w:type="dxa" w:w="1600"/>
            <w:tcMar>
              <w:top w:type="dxa" w:w="70"/>
              <w:left w:type="dxa" w:w="100"/>
              <w:bottom w:type="dxa" w:w="70"/>
              <w:right w:type="dxa" w:w="100"/>
            </w:tcMar>
            <w:vAlign w:val="center"/>
          </w:tcPr>
          <w:p>
            <w:pPr>
              <w:spacing w:after="0"/>
            </w:pPr>
            <w:r>
              <w:rPr>
                <w:rFonts w:ascii="Calibri" w:cs="Calibri" w:eastAsia="Calibri" w:hAnsi="Calibri"/>
                <w:color w:val="333333"/>
                <w:sz w:val="17"/>
                <w:szCs w:val="17"/>
              </w:rPr>
              <w:t xml:space="preserve"/>
            </w:r>
          </w:p>
        </w:tc>
        <w:tc>
          <w:tcPr>
            <w:tcW w:type="dxa" w:w="1940"/>
            <w:tcMar>
              <w:top w:type="dxa" w:w="70"/>
              <w:left w:type="dxa" w:w="100"/>
              <w:bottom w:type="dxa" w:w="70"/>
              <w:right w:type="dxa" w:w="100"/>
            </w:tcMar>
            <w:vAlign w:val="center"/>
          </w:tcPr>
          <w:p>
            <w:pPr>
              <w:spacing w:after="0"/>
            </w:pPr>
            <w:r>
              <w:rPr>
                <w:rFonts w:ascii="Calibri" w:cs="Calibri" w:eastAsia="Calibri" w:hAnsi="Calibri"/>
                <w:color w:val="333333"/>
                <w:sz w:val="17"/>
                <w:szCs w:val="17"/>
              </w:rPr>
              <w:t xml:space="preserve"/>
            </w:r>
          </w:p>
        </w:tc>
      </w:tr>
      <w:tr>
        <w:trPr>
          <w:cantSplit/>
          <w:trHeight w:val="660" w:hRule="atLeast"/>
        </w:trPr>
        <w:tc>
          <w:tcPr>
            <w:tcW w:type="dxa" w:w="62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17"/>
                <w:szCs w:val="17"/>
              </w:rPr>
              <w:t xml:space="preserve">16</w:t>
            </w:r>
          </w:p>
        </w:tc>
        <w:tc>
          <w:tcPr>
            <w:tcW w:type="dxa" w:w="520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17"/>
                <w:szCs w:val="17"/>
              </w:rPr>
              <w:t xml:space="preserve">Informacja o zawarciu umowy z dostawcą usług zarządzanych w zakresie cyberbezpieczeństwa na realizację zadań z art. 8 i art. 11, wraz z nazwą, adresem siedziby, adresem do korespondencji, telefonem i adresem e-mail tego dostawcy</w:t>
            </w:r>
          </w:p>
        </w:tc>
        <w:tc>
          <w:tcPr>
            <w:tcW w:type="dxa" w:w="160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17"/>
                <w:szCs w:val="17"/>
              </w:rPr>
              <w:t xml:space="preserve"/>
            </w:r>
          </w:p>
        </w:tc>
        <w:tc>
          <w:tcPr>
            <w:tcW w:type="dxa" w:w="194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17"/>
                <w:szCs w:val="17"/>
              </w:rPr>
              <w:t xml:space="preserve"/>
            </w:r>
          </w:p>
        </w:tc>
      </w:tr>
      <w:tr>
        <w:trPr>
          <w:cantSplit/>
          <w:trHeight w:val="660" w:hRule="atLeast"/>
        </w:trPr>
        <w:tc>
          <w:tcPr>
            <w:tcW w:type="dxa" w:w="620"/>
            <w:tcMar>
              <w:top w:type="dxa" w:w="70"/>
              <w:left w:type="dxa" w:w="100"/>
              <w:bottom w:type="dxa" w:w="70"/>
              <w:right w:type="dxa" w:w="100"/>
            </w:tcMar>
            <w:vAlign w:val="center"/>
          </w:tcPr>
          <w:p>
            <w:pPr>
              <w:spacing w:after="0"/>
            </w:pPr>
            <w:r>
              <w:rPr>
                <w:rFonts w:ascii="Calibri" w:cs="Calibri" w:eastAsia="Calibri" w:hAnsi="Calibri"/>
                <w:color w:val="333333"/>
                <w:sz w:val="17"/>
                <w:szCs w:val="17"/>
              </w:rPr>
              <w:t xml:space="preserve">17</w:t>
            </w:r>
          </w:p>
        </w:tc>
        <w:tc>
          <w:tcPr>
            <w:tcW w:type="dxa" w:w="5200"/>
            <w:tcMar>
              <w:top w:type="dxa" w:w="70"/>
              <w:left w:type="dxa" w:w="100"/>
              <w:bottom w:type="dxa" w:w="70"/>
              <w:right w:type="dxa" w:w="100"/>
            </w:tcMar>
            <w:vAlign w:val="center"/>
          </w:tcPr>
          <w:p>
            <w:pPr>
              <w:spacing w:after="0"/>
            </w:pPr>
            <w:r>
              <w:rPr>
                <w:rFonts w:ascii="Calibri" w:cs="Calibri" w:eastAsia="Calibri" w:hAnsi="Calibri"/>
                <w:color w:val="333333"/>
                <w:sz w:val="17"/>
                <w:szCs w:val="17"/>
              </w:rPr>
              <w:t xml:space="preserve">Informacja o ustanowieniu przedstawiciela podmiotu (art. 5a ust. 7) wraz z jego danymi kontaktowymi</w:t>
            </w:r>
          </w:p>
        </w:tc>
        <w:tc>
          <w:tcPr>
            <w:tcW w:type="dxa" w:w="1600"/>
            <w:tcMar>
              <w:top w:type="dxa" w:w="70"/>
              <w:left w:type="dxa" w:w="100"/>
              <w:bottom w:type="dxa" w:w="70"/>
              <w:right w:type="dxa" w:w="100"/>
            </w:tcMar>
            <w:vAlign w:val="center"/>
          </w:tcPr>
          <w:p>
            <w:pPr>
              <w:spacing w:after="0"/>
            </w:pPr>
            <w:r>
              <w:rPr>
                <w:rFonts w:ascii="Calibri" w:cs="Calibri" w:eastAsia="Calibri" w:hAnsi="Calibri"/>
                <w:color w:val="333333"/>
                <w:sz w:val="17"/>
                <w:szCs w:val="17"/>
              </w:rPr>
              <w:t xml:space="preserve"/>
            </w:r>
          </w:p>
        </w:tc>
        <w:tc>
          <w:tcPr>
            <w:tcW w:type="dxa" w:w="1940"/>
            <w:tcMar>
              <w:top w:type="dxa" w:w="70"/>
              <w:left w:type="dxa" w:w="100"/>
              <w:bottom w:type="dxa" w:w="70"/>
              <w:right w:type="dxa" w:w="100"/>
            </w:tcMar>
            <w:vAlign w:val="center"/>
          </w:tcPr>
          <w:p>
            <w:pPr>
              <w:spacing w:after="0"/>
            </w:pPr>
            <w:r>
              <w:rPr>
                <w:rFonts w:ascii="Calibri" w:cs="Calibri" w:eastAsia="Calibri" w:hAnsi="Calibri"/>
                <w:color w:val="333333"/>
                <w:sz w:val="17"/>
                <w:szCs w:val="17"/>
              </w:rPr>
              <w:t xml:space="preserve"/>
            </w:r>
          </w:p>
        </w:tc>
      </w:tr>
      <w:tr>
        <w:trPr>
          <w:cantSplit/>
          <w:trHeight w:val="660" w:hRule="atLeast"/>
        </w:trPr>
        <w:tc>
          <w:tcPr>
            <w:tcW w:type="dxa" w:w="62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17"/>
                <w:szCs w:val="17"/>
              </w:rPr>
              <w:t xml:space="preserve">18</w:t>
            </w:r>
          </w:p>
        </w:tc>
        <w:tc>
          <w:tcPr>
            <w:tcW w:type="dxa" w:w="520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17"/>
                <w:szCs w:val="17"/>
              </w:rPr>
              <w:t xml:space="preserve">Informacja o zawarciu porozumienia, o którym mowa w art. 8h ust. 6</w:t>
            </w:r>
          </w:p>
        </w:tc>
        <w:tc>
          <w:tcPr>
            <w:tcW w:type="dxa" w:w="160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17"/>
                <w:szCs w:val="17"/>
              </w:rPr>
              <w:t xml:space="preserve"/>
            </w:r>
          </w:p>
        </w:tc>
        <w:tc>
          <w:tcPr>
            <w:tcW w:type="dxa" w:w="194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17"/>
                <w:szCs w:val="17"/>
              </w:rPr>
              <w:t xml:space="preserve"/>
            </w:r>
          </w:p>
        </w:tc>
      </w:tr>
    </w:tbl>
    <w:p>
      <w:pPr>
        <w:spacing w:after="180"/>
      </w:pPr>
    </w:p>
    <w:tbl>
      <w:tblPr>
        <w:tblW w:type="dxa" w:w="9360"/>
        <w:tblBorders>
          <w:top w:val="single" w:color="5A6B7C" w:sz="8"/>
          <w:left w:val="single" w:color="5A6B7C" w:sz="8"/>
          <w:bottom w:val="single" w:color="5A6B7C" w:sz="8"/>
          <w:right w:val="single" w:color="5A6B7C" w:sz="8"/>
          <w:insideH w:val="none"/>
          <w:insideV w:val="none"/>
        </w:tblBorders>
      </w:tblPr>
      <w:tblGrid>
        <w:gridCol w:w="9360"/>
      </w:tblGrid>
      <w:tr>
        <w:trPr>
          <w:cantSplit/>
        </w:trPr>
        <w:tc>
          <w:tcPr>
            <w:tcW w:type="dxa" w:w="9360"/>
            <w:shd w:fill="F2F5F8" w:color="auto" w:val="clear"/>
            <w:tcMar>
              <w:top w:type="dxa" w:w="110"/>
              <w:left w:type="dxa" w:w="140"/>
              <w:bottom w:type="dxa" w:w="110"/>
              <w:right w:type="dxa" w:w="140"/>
            </w:tcMar>
          </w:tcPr>
          <w:p>
            <w:r>
              <w:rPr>
                <w:rFonts w:ascii="Calibri" w:cs="Calibri" w:eastAsia="Calibri" w:hAnsi="Calibri"/>
                <w:b/>
                <w:bCs/>
                <w:color w:val="1E2761"/>
                <w:sz w:val="21"/>
                <w:szCs w:val="21"/>
              </w:rPr>
              <w:t xml:space="preserve">Uwaga:  </w:t>
            </w:r>
            <w:r>
              <w:rPr>
                <w:rFonts w:ascii="Calibri" w:cs="Calibri" w:eastAsia="Calibri" w:hAnsi="Calibri"/>
                <w:color w:val="333333"/>
                <w:sz w:val="21"/>
                <w:szCs w:val="21"/>
              </w:rPr>
              <w:t xml:space="preserve">Powyższa lista obejmuje komplet danych z art. 7 ust. 2 pkt 1–18, czyli dokładnie zakres wniosku o wpis. Punktów 19–26 (organ właściwy, właściwy CSIRT, numer w wykazie, data i podstawa wpisu) NIE wypełnia podmiot — uzupełnia je minister właściwy do spraw informatyzacji (art. 7a ust. 1). Przed wysłaniem wniosku zweryfikuj dane pobrane automatycznie z KRS i REGON: system pobiera je z rejestrów publicznych, ale odpowiedzialność za ich prawdziwość ponosi kierownik podmiotu.</w:t>
            </w:r>
          </w:p>
        </w:tc>
      </w:tr>
    </w:tbl>
    <w:p>
      <w:pPr>
        <w:spacing w:after="180"/>
      </w:pPr>
    </w:p>
    <w:tbl>
      <w:tblPr>
        <w:tblW w:type="dxa" w:w="9360"/>
        <w:tblBorders>
          <w:top w:val="single" w:color="028090" w:sz="8"/>
          <w:left w:val="single" w:color="028090" w:sz="8"/>
          <w:bottom w:val="single" w:color="028090" w:sz="8"/>
          <w:right w:val="single" w:color="028090" w:sz="8"/>
          <w:insideH w:val="none"/>
          <w:insideV w:val="none"/>
        </w:tblBorders>
      </w:tblPr>
      <w:tblGrid>
        <w:gridCol w:w="9360"/>
      </w:tblGrid>
      <w:tr>
        <w:trPr>
          <w:cantSplit/>
        </w:trPr>
        <w:tc>
          <w:tcPr>
            <w:tcW w:type="dxa" w:w="9360"/>
            <w:shd w:fill="F2F5F8" w:color="auto" w:val="clear"/>
            <w:tcMar>
              <w:top w:type="dxa" w:w="110"/>
              <w:left w:type="dxa" w:w="140"/>
              <w:bottom w:type="dxa" w:w="110"/>
              <w:right w:type="dxa" w:w="140"/>
            </w:tcMar>
          </w:tcPr>
          <w:p>
            <w:r>
              <w:rPr>
                <w:rFonts w:ascii="Calibri" w:cs="Calibri" w:eastAsia="Calibri" w:hAnsi="Calibri"/>
                <w:b/>
                <w:bCs/>
                <w:color w:val="1E2761"/>
                <w:sz w:val="21"/>
                <w:szCs w:val="21"/>
              </w:rPr>
              <w:t xml:space="preserve">Forma wniosku:  </w:t>
            </w:r>
            <w:r>
              <w:rPr>
                <w:rFonts w:ascii="Calibri" w:cs="Calibri" w:eastAsia="Calibri" w:hAnsi="Calibri"/>
                <w:color w:val="333333"/>
                <w:sz w:val="21"/>
                <w:szCs w:val="21"/>
              </w:rPr>
              <w:t xml:space="preserve">Wniosek składa się w postaci elektronicznej w systemie teleinformatycznym, o którym mowa w art. 46 ust. 1 UoKSC, i opatruje kwalifikowanym podpisem elektronicznym, podpisem zaufanym, podpisem osobistym kierownika podmiotu lub osoby przez niego upoważnionej albo kwalifikowaną pieczęcią elektroniczną (art. 7c ust. 6). Przy działaniu przez pełnomocnika dołącza się pełnomocnictwo w postaci elektronicznej (art. 7c ust. 7).</w:t>
            </w:r>
          </w:p>
        </w:tc>
      </w:tr>
    </w:tbl>
    <w:p>
      <w:pPr>
        <w:spacing w:after="220"/>
      </w:pPr>
    </w:p>
    <w:p>
      <w:pPr>
        <w:pStyle w:val="Heading1"/>
        <w:keepNext/>
        <w:pBdr>
          <w:bottom w:val="single" w:color="1F6FB2" w:sz="8" w:space="4"/>
        </w:pBdr>
        <w:spacing w:after="150" w:before="340"/>
      </w:pPr>
      <w:r>
        <w:rPr>
          <w:rFonts w:ascii="Calibri" w:cs="Calibri" w:eastAsia="Calibri" w:hAnsi="Calibri"/>
          <w:b/>
          <w:bCs/>
          <w:color w:val="1E2761"/>
          <w:sz w:val="26"/>
          <w:szCs w:val="26"/>
        </w:rPr>
        <w:t xml:space="preserve">Krok 10. Zatwierdzenie przez kierownika podmiotu</w:t>
      </w:r>
    </w:p>
    <w:p>
      <w:pPr>
        <w:keepNext/>
        <w:spacing w:after="130" w:before="0"/>
      </w:pPr>
      <w:r>
        <w:rPr>
          <w:rFonts w:ascii="Calibri" w:cs="Calibri" w:eastAsia="Calibri" w:hAnsi="Calibri"/>
          <w:i/>
          <w:iCs/>
          <w:color w:val="5A6B7C"/>
          <w:sz w:val="21"/>
          <w:szCs w:val="21"/>
        </w:rPr>
        <w:t xml:space="preserve">Podstawa: art. 7c ust. 5 i 6 UoKSC — wniosek podpisuje kierownik podmiotu albo osoba przez niego upoważniona.</w:t>
      </w:r>
    </w:p>
    <w:p>
      <w:pPr>
        <w:keepNext/>
        <w:spacing w:after="150" w:before="0"/>
      </w:pPr>
      <w:r>
        <w:rPr>
          <w:rFonts w:ascii="Calibri" w:cs="Calibri" w:eastAsia="Calibri" w:hAnsi="Calibri"/>
          <w:color w:val="333333"/>
          <w:sz w:val="21"/>
          <w:szCs w:val="21"/>
        </w:rPr>
        <w:t xml:space="preserve">Ustalenie kategorii jest decyzją kierownika podmiotu, a nie działu IT. Bez podpisu kierownika dokument nie jest dowodem — jest notatką roboczą.</w:t>
      </w:r>
    </w:p>
    <w:tbl>
      <w:tblPr>
        <w:tblW w:type="dxa" w:w="9360"/>
        <w:tblBorders>
          <w:top w:val="single" w:color="C6D2DE" w:sz="4"/>
          <w:left w:val="single" w:color="C6D2DE" w:sz="4"/>
          <w:bottom w:val="single" w:color="C6D2DE" w:sz="4"/>
          <w:right w:val="single" w:color="C6D2DE" w:sz="4"/>
          <w:insideH w:val="single" w:color="C6D2DE" w:sz="4"/>
          <w:insideV w:val="single" w:color="C6D2DE" w:sz="4"/>
        </w:tblBorders>
      </w:tblPr>
      <w:tblGrid>
        <w:gridCol w:w="3100"/>
        <w:gridCol w:w="6260"/>
      </w:tblGrid>
      <w:tr>
        <w:trPr>
          <w:cantSplit/>
          <w:trHeight w:val="620" w:hRule="atLeast"/>
        </w:trPr>
        <w:tc>
          <w:tcPr>
            <w:tcW w:type="dxa" w:w="3100"/>
            <w:shd w:fill="F2F5F8" w:color="auto" w:val="clear"/>
            <w:tcMar>
              <w:top w:type="dxa" w:w="70"/>
              <w:left w:type="dxa" w:w="100"/>
              <w:bottom w:type="dxa" w:w="70"/>
              <w:right w:type="dxa" w:w="100"/>
            </w:tcMar>
            <w:vAlign w:val="center"/>
          </w:tcPr>
          <w:p>
            <w:pPr>
              <w:spacing w:after="0"/>
            </w:pPr>
            <w:r>
              <w:rPr>
                <w:rFonts w:ascii="Calibri" w:cs="Calibri" w:eastAsia="Calibri" w:hAnsi="Calibri"/>
                <w:b/>
                <w:bCs/>
                <w:color w:val="333333"/>
                <w:sz w:val="20"/>
                <w:szCs w:val="20"/>
              </w:rPr>
              <w:t xml:space="preserve">Kierownik podmiotu — imię, nazwisko, funkcja</w:t>
            </w:r>
          </w:p>
        </w:tc>
        <w:tc>
          <w:tcPr>
            <w:tcW w:type="dxa" w:w="6260"/>
            <w:shd w:fill="F2F5F8" w:color="auto" w:val="clear"/>
            <w:tcMar>
              <w:top w:type="dxa" w:w="70"/>
              <w:left w:type="dxa" w:w="100"/>
              <w:bottom w:type="dxa" w:w="70"/>
              <w:right w:type="dxa" w:w="100"/>
            </w:tcMar>
            <w:vAlign w:val="center"/>
          </w:tcPr>
          <w:p>
            <w:pPr>
              <w:spacing w:after="0"/>
            </w:pPr>
            <w:r>
              <w:rPr>
                <w:rFonts w:ascii="Calibri" w:cs="Calibri" w:eastAsia="Calibri" w:hAnsi="Calibri"/>
                <w:b w:val="false"/>
                <w:bCs w:val="false"/>
                <w:color w:val="333333"/>
                <w:sz w:val="20"/>
                <w:szCs w:val="20"/>
              </w:rPr>
              <w:t xml:space="preserve"/>
            </w:r>
          </w:p>
        </w:tc>
      </w:tr>
      <w:tr>
        <w:trPr>
          <w:cantSplit/>
          <w:trHeight w:val="620" w:hRule="atLeast"/>
        </w:trPr>
        <w:tc>
          <w:tcPr>
            <w:tcW w:type="dxa" w:w="3100"/>
            <w:tcMar>
              <w:top w:type="dxa" w:w="70"/>
              <w:left w:type="dxa" w:w="100"/>
              <w:bottom w:type="dxa" w:w="70"/>
              <w:right w:type="dxa" w:w="100"/>
            </w:tcMar>
            <w:vAlign w:val="center"/>
          </w:tcPr>
          <w:p>
            <w:pPr>
              <w:spacing w:after="0"/>
            </w:pPr>
            <w:r>
              <w:rPr>
                <w:rFonts w:ascii="Calibri" w:cs="Calibri" w:eastAsia="Calibri" w:hAnsi="Calibri"/>
                <w:b/>
                <w:bCs/>
                <w:color w:val="333333"/>
                <w:sz w:val="20"/>
                <w:szCs w:val="20"/>
              </w:rPr>
              <w:t xml:space="preserve">Data zatwierdzenia</w:t>
            </w:r>
          </w:p>
        </w:tc>
        <w:tc>
          <w:tcPr>
            <w:tcW w:type="dxa" w:w="6260"/>
            <w:tcMar>
              <w:top w:type="dxa" w:w="70"/>
              <w:left w:type="dxa" w:w="100"/>
              <w:bottom w:type="dxa" w:w="70"/>
              <w:right w:type="dxa" w:w="100"/>
            </w:tcMar>
            <w:vAlign w:val="center"/>
          </w:tcPr>
          <w:p>
            <w:pPr>
              <w:spacing w:after="0"/>
            </w:pPr>
            <w:r>
              <w:rPr>
                <w:rFonts w:ascii="Calibri" w:cs="Calibri" w:eastAsia="Calibri" w:hAnsi="Calibri"/>
                <w:b w:val="false"/>
                <w:bCs w:val="false"/>
                <w:color w:val="333333"/>
                <w:sz w:val="20"/>
                <w:szCs w:val="20"/>
              </w:rPr>
              <w:t xml:space="preserve"/>
            </w:r>
          </w:p>
        </w:tc>
      </w:tr>
      <w:tr>
        <w:trPr>
          <w:cantSplit/>
          <w:trHeight w:val="900" w:hRule="atLeast"/>
        </w:trPr>
        <w:tc>
          <w:tcPr>
            <w:tcW w:type="dxa" w:w="3100"/>
            <w:shd w:fill="F2F5F8" w:color="auto" w:val="clear"/>
            <w:tcMar>
              <w:top w:type="dxa" w:w="70"/>
              <w:left w:type="dxa" w:w="100"/>
              <w:bottom w:type="dxa" w:w="70"/>
              <w:right w:type="dxa" w:w="100"/>
            </w:tcMar>
            <w:vAlign w:val="center"/>
          </w:tcPr>
          <w:p>
            <w:pPr>
              <w:spacing w:after="0"/>
            </w:pPr>
            <w:r>
              <w:rPr>
                <w:rFonts w:ascii="Calibri" w:cs="Calibri" w:eastAsia="Calibri" w:hAnsi="Calibri"/>
                <w:b/>
                <w:bCs/>
                <w:color w:val="333333"/>
                <w:sz w:val="20"/>
                <w:szCs w:val="20"/>
              </w:rPr>
              <w:t xml:space="preserve">Podpis</w:t>
            </w:r>
          </w:p>
        </w:tc>
        <w:tc>
          <w:tcPr>
            <w:tcW w:type="dxa" w:w="6260"/>
            <w:shd w:fill="F2F5F8" w:color="auto" w:val="clear"/>
            <w:tcMar>
              <w:top w:type="dxa" w:w="70"/>
              <w:left w:type="dxa" w:w="100"/>
              <w:bottom w:type="dxa" w:w="70"/>
              <w:right w:type="dxa" w:w="100"/>
            </w:tcMar>
            <w:vAlign w:val="center"/>
          </w:tcPr>
          <w:p>
            <w:pPr>
              <w:spacing w:after="0"/>
            </w:pPr>
            <w:r>
              <w:rPr>
                <w:rFonts w:ascii="Calibri" w:cs="Calibri" w:eastAsia="Calibri" w:hAnsi="Calibri"/>
                <w:b w:val="false"/>
                <w:bCs w:val="false"/>
                <w:color w:val="333333"/>
                <w:sz w:val="20"/>
                <w:szCs w:val="20"/>
              </w:rPr>
              <w:t xml:space="preserve"/>
            </w:r>
          </w:p>
        </w:tc>
      </w:tr>
    </w:tbl>
    <w:p>
      <w:pPr>
        <w:spacing w:after="180"/>
      </w:pPr>
    </w:p>
    <w:tbl>
      <w:tblPr>
        <w:tblW w:type="dxa" w:w="9360"/>
        <w:tblBorders>
          <w:top w:val="single" w:color="C0392B" w:sz="8"/>
          <w:left w:val="single" w:color="C0392B" w:sz="8"/>
          <w:bottom w:val="single" w:color="C0392B" w:sz="8"/>
          <w:right w:val="single" w:color="C0392B" w:sz="8"/>
          <w:insideH w:val="none"/>
          <w:insideV w:val="none"/>
        </w:tblBorders>
      </w:tblPr>
      <w:tblGrid>
        <w:gridCol w:w="9360"/>
      </w:tblGrid>
      <w:tr>
        <w:trPr>
          <w:cantSplit/>
        </w:trPr>
        <w:tc>
          <w:tcPr>
            <w:tcW w:type="dxa" w:w="9360"/>
            <w:shd w:fill="FFF7DB" w:color="auto" w:val="clear"/>
            <w:tcMar>
              <w:top w:type="dxa" w:w="110"/>
              <w:left w:type="dxa" w:w="140"/>
              <w:bottom w:type="dxa" w:w="110"/>
              <w:right w:type="dxa" w:w="140"/>
            </w:tcMar>
          </w:tcPr>
          <w:p>
            <w:r>
              <w:rPr>
                <w:rFonts w:ascii="Calibri" w:cs="Calibri" w:eastAsia="Calibri" w:hAnsi="Calibri"/>
                <w:b/>
                <w:bCs/>
                <w:color w:val="1E2761"/>
                <w:sz w:val="21"/>
                <w:szCs w:val="21"/>
              </w:rPr>
              <w:t xml:space="preserve">Klauzula z art. 7c ust. 5 UoKSC — treść wymagana we wniosku o wpis:  </w:t>
            </w:r>
            <w:r>
              <w:rPr>
                <w:rFonts w:ascii="Calibri" w:cs="Calibri" w:eastAsia="Calibri" w:hAnsi="Calibri"/>
                <w:color w:val="333333"/>
                <w:sz w:val="21"/>
                <w:szCs w:val="21"/>
              </w:rPr>
              <w:t xml:space="preserve">„Świadomy odpowiedzialności karnej za złożenie fałszywego oświadczenia wynikającej z art. 233 § 6 ustawy z dnia 6 czerwca 1997 r. – Kodeks karny oświadczam, że dane zawarte we wniosku są zgodne z prawdą.” Klauzula zastępuje pouczenie o odpowiedzialności karnej. Odpowiedzialność za złożenie fałszywego oświadczenia nie obejmuje podania zakresów adresów IP oraz zakresów nazw domenowych.</w:t>
            </w:r>
          </w:p>
        </w:tc>
      </w:tr>
    </w:tbl>
    <w:p>
      <w:pPr>
        <w:spacing w:after="220"/>
      </w:pPr>
    </w:p>
    <w:p>
      <w:pPr>
        <w:pStyle w:val="Heading1"/>
        <w:keepNext/>
        <w:pBdr>
          <w:bottom w:val="single" w:color="1F6FB2" w:sz="8" w:space="4"/>
        </w:pBdr>
        <w:spacing w:after="150" w:before="340"/>
      </w:pPr>
      <w:r>
        <w:rPr>
          <w:rFonts w:ascii="Calibri" w:cs="Calibri" w:eastAsia="Calibri" w:hAnsi="Calibri"/>
          <w:b/>
          <w:bCs/>
          <w:color w:val="1E2761"/>
          <w:sz w:val="26"/>
          <w:szCs w:val="26"/>
        </w:rPr>
        <w:t xml:space="preserve">Rejestr przeglądów samoidentyfikacji</w:t>
      </w:r>
    </w:p>
    <w:p>
      <w:pPr>
        <w:keepNext/>
        <w:spacing w:after="140" w:before="0"/>
      </w:pPr>
      <w:r>
        <w:rPr>
          <w:rFonts w:ascii="Calibri" w:cs="Calibri" w:eastAsia="Calibri" w:hAnsi="Calibri"/>
          <w:color w:val="333333"/>
          <w:sz w:val="21"/>
          <w:szCs w:val="21"/>
        </w:rPr>
        <w:t xml:space="preserve">Status podmiotu zmienia się razem z działalnością i wielkością. Przegląd wykonuj co najmniej raz w roku, po zatwierdzeniu sprawozdania finansowego, oraz zawsze po zmianie profilu działalności, przejęciu, zbyciu spółki zależnej albo uzyskaniu lub utracie koncesji.</w:t>
      </w:r>
    </w:p>
    <w:tbl>
      <w:tblPr>
        <w:tblW w:type="dxa" w:w="9360"/>
        <w:tblBorders>
          <w:top w:val="single" w:color="C6D2DE" w:sz="4"/>
          <w:left w:val="single" w:color="C6D2DE" w:sz="4"/>
          <w:bottom w:val="single" w:color="C6D2DE" w:sz="4"/>
          <w:right w:val="single" w:color="C6D2DE" w:sz="4"/>
          <w:insideH w:val="single" w:color="C6D2DE" w:sz="4"/>
          <w:insideV w:val="single" w:color="C6D2DE" w:sz="4"/>
        </w:tblBorders>
      </w:tblPr>
      <w:tblGrid>
        <w:gridCol w:w="1500"/>
        <w:gridCol w:w="2400"/>
        <w:gridCol w:w="2600"/>
        <w:gridCol w:w="2860"/>
      </w:tblGrid>
      <w:tr>
        <w:trPr>
          <w:cantSplit/>
          <w:tblHeader/>
        </w:trPr>
        <w:tc>
          <w:tcPr>
            <w:tcW w:type="dxa" w:w="1500"/>
            <w:shd w:fill="1E276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7"/>
                <w:szCs w:val="17"/>
              </w:rPr>
              <w:t xml:space="preserve">Data przeglądu</w:t>
            </w:r>
          </w:p>
        </w:tc>
        <w:tc>
          <w:tcPr>
            <w:tcW w:type="dxa" w:w="2400"/>
            <w:shd w:fill="1E276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7"/>
                <w:szCs w:val="17"/>
              </w:rPr>
              <w:t xml:space="preserve">Zdarzenie uzasadniające przegląd</w:t>
            </w:r>
          </w:p>
        </w:tc>
        <w:tc>
          <w:tcPr>
            <w:tcW w:type="dxa" w:w="2600"/>
            <w:shd w:fill="1E276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7"/>
                <w:szCs w:val="17"/>
              </w:rPr>
              <w:t xml:space="preserve">Wynik — kategoria</w:t>
            </w:r>
          </w:p>
        </w:tc>
        <w:tc>
          <w:tcPr>
            <w:tcW w:type="dxa" w:w="2860"/>
            <w:shd w:fill="1E276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7"/>
                <w:szCs w:val="17"/>
              </w:rPr>
              <w:t xml:space="preserve">Podpis kierownika podmiotu</w:t>
            </w:r>
          </w:p>
        </w:tc>
      </w:tr>
      <w:tr>
        <w:trPr>
          <w:cantSplit/>
          <w:trHeight w:val="620" w:hRule="atLeast"/>
        </w:trPr>
        <w:tc>
          <w:tcPr>
            <w:tcW w:type="dxa" w:w="1500"/>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
            </w:r>
          </w:p>
        </w:tc>
        <w:tc>
          <w:tcPr>
            <w:tcW w:type="dxa" w:w="2400"/>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
            </w:r>
          </w:p>
        </w:tc>
        <w:tc>
          <w:tcPr>
            <w:tcW w:type="dxa" w:w="2600"/>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
            </w:r>
          </w:p>
        </w:tc>
        <w:tc>
          <w:tcPr>
            <w:tcW w:type="dxa" w:w="2860"/>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
            </w:r>
          </w:p>
        </w:tc>
      </w:tr>
      <w:tr>
        <w:trPr>
          <w:cantSplit/>
          <w:trHeight w:val="620" w:hRule="atLeast"/>
        </w:trPr>
        <w:tc>
          <w:tcPr>
            <w:tcW w:type="dxa" w:w="150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
            </w:r>
          </w:p>
        </w:tc>
        <w:tc>
          <w:tcPr>
            <w:tcW w:type="dxa" w:w="240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
            </w:r>
          </w:p>
        </w:tc>
        <w:tc>
          <w:tcPr>
            <w:tcW w:type="dxa" w:w="260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
            </w:r>
          </w:p>
        </w:tc>
        <w:tc>
          <w:tcPr>
            <w:tcW w:type="dxa" w:w="286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
            </w:r>
          </w:p>
        </w:tc>
      </w:tr>
      <w:tr>
        <w:trPr>
          <w:cantSplit/>
          <w:trHeight w:val="620" w:hRule="atLeast"/>
        </w:trPr>
        <w:tc>
          <w:tcPr>
            <w:tcW w:type="dxa" w:w="1500"/>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
            </w:r>
          </w:p>
        </w:tc>
        <w:tc>
          <w:tcPr>
            <w:tcW w:type="dxa" w:w="2400"/>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
            </w:r>
          </w:p>
        </w:tc>
        <w:tc>
          <w:tcPr>
            <w:tcW w:type="dxa" w:w="2600"/>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
            </w:r>
          </w:p>
        </w:tc>
        <w:tc>
          <w:tcPr>
            <w:tcW w:type="dxa" w:w="2860"/>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
            </w:r>
          </w:p>
        </w:tc>
      </w:tr>
      <w:tr>
        <w:trPr>
          <w:cantSplit/>
          <w:trHeight w:val="620" w:hRule="atLeast"/>
        </w:trPr>
        <w:tc>
          <w:tcPr>
            <w:tcW w:type="dxa" w:w="150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
            </w:r>
          </w:p>
        </w:tc>
        <w:tc>
          <w:tcPr>
            <w:tcW w:type="dxa" w:w="240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
            </w:r>
          </w:p>
        </w:tc>
        <w:tc>
          <w:tcPr>
            <w:tcW w:type="dxa" w:w="260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
            </w:r>
          </w:p>
        </w:tc>
        <w:tc>
          <w:tcPr>
            <w:tcW w:type="dxa" w:w="2860"/>
            <w:shd w:fill="F2F5F8" w:color="auto" w:val="clear"/>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
            </w:r>
          </w:p>
        </w:tc>
      </w:tr>
      <w:tr>
        <w:trPr>
          <w:cantSplit/>
          <w:trHeight w:val="620" w:hRule="atLeast"/>
        </w:trPr>
        <w:tc>
          <w:tcPr>
            <w:tcW w:type="dxa" w:w="1500"/>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
            </w:r>
          </w:p>
        </w:tc>
        <w:tc>
          <w:tcPr>
            <w:tcW w:type="dxa" w:w="2400"/>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
            </w:r>
          </w:p>
        </w:tc>
        <w:tc>
          <w:tcPr>
            <w:tcW w:type="dxa" w:w="2600"/>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
            </w:r>
          </w:p>
        </w:tc>
        <w:tc>
          <w:tcPr>
            <w:tcW w:type="dxa" w:w="2860"/>
            <w:tcMar>
              <w:top w:type="dxa" w:w="70"/>
              <w:left w:type="dxa" w:w="100"/>
              <w:bottom w:type="dxa" w:w="70"/>
              <w:right w:type="dxa" w:w="100"/>
            </w:tcMar>
            <w:vAlign w:val="center"/>
          </w:tcPr>
          <w:p>
            <w:pPr>
              <w:spacing w:after="0"/>
            </w:pPr>
            <w:r>
              <w:rPr>
                <w:rFonts w:ascii="Calibri" w:cs="Calibri" w:eastAsia="Calibri" w:hAnsi="Calibri"/>
                <w:color w:val="333333"/>
                <w:sz w:val="20"/>
                <w:szCs w:val="20"/>
              </w:rPr>
              <w:t xml:space="preserve"/>
            </w:r>
          </w:p>
        </w:tc>
      </w:tr>
    </w:tbl>
    <w:p>
      <w:pPr>
        <w:spacing w:after="200"/>
      </w:pPr>
    </w:p>
    <w:p>
      <w:pPr>
        <w:pStyle w:val="Heading2"/>
        <w:keepNext/>
        <w:spacing w:after="90" w:before="240"/>
      </w:pPr>
      <w:r>
        <w:rPr>
          <w:rFonts w:ascii="Calibri" w:cs="Calibri" w:eastAsia="Calibri" w:hAnsi="Calibri"/>
          <w:b/>
          <w:bCs/>
          <w:color w:val="1F6FB2"/>
          <w:sz w:val="23"/>
          <w:szCs w:val="23"/>
        </w:rPr>
        <w:t xml:space="preserve">Podstawy prawne przywołane w formularzu</w:t>
      </w:r>
    </w:p>
    <w:p>
      <w:pPr>
        <w:keepNext/>
        <w:spacing w:after="90" w:before="0"/>
      </w:pPr>
      <w:r>
        <w:rPr>
          <w:rFonts w:ascii="Calibri" w:cs="Calibri" w:eastAsia="Calibri" w:hAnsi="Calibri"/>
          <w:color w:val="333333"/>
          <w:sz w:val="21"/>
          <w:szCs w:val="21"/>
        </w:rPr>
        <w:t xml:space="preserve">▪  Ustawa z dnia 5 lipca 2018 r. o krajowym systemie cyberbezpieczeństwa w brzmieniu nadanym ustawą z dnia 23 stycznia 2026 r. o zmianie ustawy o krajowym systemie cyberbezpieczeństwa (Dz. U. 2026 poz. 252): art. 5, 5a, 7, 7a, 7b, 7c, 8, 8e, 8f, 8h ust. 6, 11, 15, 16 i 46 ust. 1 oraz Załączniki nr 1 i nr 2.</w:t>
      </w:r>
    </w:p>
    <w:p>
      <w:pPr>
        <w:keepNext/>
        <w:spacing w:after="90" w:before="0"/>
      </w:pPr>
      <w:r>
        <w:rPr>
          <w:rFonts w:ascii="Calibri" w:cs="Calibri" w:eastAsia="Calibri" w:hAnsi="Calibri"/>
          <w:color w:val="333333"/>
          <w:sz w:val="21"/>
          <w:szCs w:val="21"/>
        </w:rPr>
        <w:t xml:space="preserve">▪  Ustawa z dnia 23 stycznia 2026 r. o zmianie ustawy o krajowym systemie cyberbezpieczeństwa — przepisy przejściowe: art. 33 i art. 34.</w:t>
      </w:r>
    </w:p>
    <w:p>
      <w:pPr>
        <w:keepNext/>
        <w:spacing w:after="90" w:before="0"/>
      </w:pPr>
      <w:r>
        <w:rPr>
          <w:rFonts w:ascii="Calibri" w:cs="Calibri" w:eastAsia="Calibri" w:hAnsi="Calibri"/>
          <w:color w:val="333333"/>
          <w:sz w:val="21"/>
          <w:szCs w:val="21"/>
        </w:rPr>
        <w:t xml:space="preserve">▪  Rozporządzenie Komisji (UE) nr 651/2014, załącznik I — kryterium wielkości przedsiębiorstwa.</w:t>
      </w:r>
    </w:p>
    <w:p>
      <w:pPr>
        <w:keepNext/>
        <w:spacing w:after="90" w:before="0"/>
      </w:pPr>
      <w:r>
        <w:rPr>
          <w:rFonts w:ascii="Calibri" w:cs="Calibri" w:eastAsia="Calibri" w:hAnsi="Calibri"/>
          <w:color w:val="333333"/>
          <w:sz w:val="21"/>
          <w:szCs w:val="21"/>
        </w:rPr>
        <w:t xml:space="preserve">▪  Rozporządzenie Parlamentu Europejskiego i Rady (UE) nr 910/2014 (eIDAS) — art. 3 pkt 20, definicja kwalifikowanego dostawcy usług zaufania, przywołana w Kroku 4.</w:t>
      </w:r>
    </w:p>
    <w:p>
      <w:pPr>
        <w:spacing w:after="150" w:before="0"/>
      </w:pPr>
      <w:r>
        <w:rPr>
          <w:rFonts w:ascii="Calibri" w:cs="Calibri" w:eastAsia="Calibri" w:hAnsi="Calibri"/>
          <w:color w:val="333333"/>
          <w:sz w:val="21"/>
          <w:szCs w:val="21"/>
        </w:rPr>
        <w:t xml:space="preserve">▪  Komunikat Ministra Cyfryzacji z dnia 8 kwietnia 2026 r. w sprawie harmonogramu złożenia wniosków o wpis do wykazu podmiotów kluczowych i podmiotów ważnych oraz rozpoczęcia korzystania z systemu teleinformatycznego (Dz. Urz. Min. Cyfryzacji poz. 7).</w:t>
      </w:r>
    </w:p>
    <w:p>
      <w:pPr>
        <w:spacing w:after="150"/>
      </w:pPr>
    </w:p>
    <w:tbl>
      <w:tblPr>
        <w:tblW w:type="dxa" w:w="9360"/>
        <w:tblBorders>
          <w:top w:val="single" w:color="5A6B7C" w:sz="8"/>
          <w:left w:val="single" w:color="5A6B7C" w:sz="8"/>
          <w:bottom w:val="single" w:color="5A6B7C" w:sz="8"/>
          <w:right w:val="single" w:color="5A6B7C" w:sz="8"/>
          <w:insideH w:val="none"/>
          <w:insideV w:val="none"/>
        </w:tblBorders>
      </w:tblPr>
      <w:tblGrid>
        <w:gridCol w:w="9360"/>
      </w:tblGrid>
      <w:tr>
        <w:trPr>
          <w:cantSplit/>
        </w:trPr>
        <w:tc>
          <w:tcPr>
            <w:tcW w:type="dxa" w:w="9360"/>
            <w:shd w:fill="F2F5F8" w:color="auto" w:val="clear"/>
            <w:tcMar>
              <w:top w:type="dxa" w:w="110"/>
              <w:left w:type="dxa" w:w="140"/>
              <w:bottom w:type="dxa" w:w="110"/>
              <w:right w:type="dxa" w:w="140"/>
            </w:tcMar>
          </w:tcPr>
          <w:p>
            <w:r>
              <w:rPr>
                <w:rFonts w:ascii="Calibri" w:cs="Calibri" w:eastAsia="Calibri" w:hAnsi="Calibri"/>
                <w:b/>
                <w:bCs/>
                <w:color w:val="1E2761"/>
                <w:sz w:val="21"/>
                <w:szCs w:val="21"/>
              </w:rPr>
              <w:t xml:space="preserve">Zastrzeżenie:  </w:t>
            </w:r>
            <w:r>
              <w:rPr>
                <w:rFonts w:ascii="Calibri" w:cs="Calibri" w:eastAsia="Calibri" w:hAnsi="Calibri"/>
                <w:color w:val="333333"/>
                <w:sz w:val="21"/>
                <w:szCs w:val="21"/>
              </w:rPr>
              <w:t xml:space="preserve">Formularz jest narzędziem pomocniczym opracowanym przez LT MASTERY Szkolenia dla Biznesu Piotr Szymczyk. Nie stanowi porady prawnej. W sprawach wątpliwych rozstrzyga treść ustawy i stanowisko organu właściwego do spraw cyberbezpieczeństwa dla danego sektora.</w:t>
            </w:r>
          </w:p>
        </w:tc>
      </w:tr>
    </w:tbl>
    <w:sectPr>
      <w:headerReference w:type="default" r:id="rId7"/>
      <w:footerReference w:type="default" r:id="rId8"/>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A6B7C"/>
        <w:sz w:val="16"/>
        <w:szCs w:val="16"/>
      </w:rPr>
      <w:t xml:space="preserve">Strona </w:t>
    </w:r>
    <w:r>
      <w:rPr>
        <w:rFonts w:ascii="Calibri" w:cs="Calibri" w:eastAsia="Calibri" w:hAnsi="Calibri"/>
        <w:color w:val="5A6B7C"/>
        <w:sz w:val="16"/>
        <w:szCs w:val="16"/>
      </w:rPr>
      <w:fldChar w:fldCharType="begin"/>
      <w:instrText xml:space="preserve">PAGE</w:instrText>
      <w:fldChar w:fldCharType="separate"/>
      <w:fldChar w:fldCharType="end"/>
    </w:r>
    <w:r>
      <w:rPr>
        <w:rFonts w:ascii="Calibri" w:cs="Calibri" w:eastAsia="Calibri" w:hAnsi="Calibri"/>
        <w:color w:val="5A6B7C"/>
        <w:sz w:val="16"/>
        <w:szCs w:val="16"/>
      </w:rPr>
      <w:t xml:space="preserve"> z </w:t>
    </w:r>
    <w:r>
      <w:rPr>
        <w:rFonts w:ascii="Calibri" w:cs="Calibri" w:eastAsia="Calibri" w:hAnsi="Calibri"/>
        <w:color w:val="5A6B7C"/>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6D2DE" w:sz="4" w:space="3"/>
      </w:pBdr>
      <w:spacing w:after="0"/>
      <w:jc w:val="right"/>
    </w:pPr>
    <w:r>
      <w:rPr>
        <w:rFonts w:ascii="Calibri" w:cs="Calibri" w:eastAsia="Calibri" w:hAnsi="Calibri"/>
        <w:b w:val="false"/>
        <w:bCs w:val="false"/>
        <w:color w:val="5A6B7C"/>
        <w:sz w:val="16"/>
        <w:szCs w:val="16"/>
      </w:rPr>
      <w:t xml:space="preserve">Formularz samoidentyfikacji podmiotu  ·  UoKSC / NIS2  ·  LT MASTERY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40" w:hanging="200"/>
      </w:pPr>
      <w:rPr>
        <w:color w:val="1F6FB2"/>
      </w:rPr>
    </w:lvl>
    <w:lvl w:ilvl="1" w15:tentative="1">
      <w:start w:val="1"/>
      <w:numFmt w:val="bullet"/>
      <w:lvlText w:val="–"/>
      <w:lvlJc w:val="left"/>
      <w:pPr>
        <w:ind w:left="700" w:hanging="200"/>
      </w:pPr>
    </w:lvl>
  </w:abstractNum>
  <w:abstractNum w:abstractNumId="3" w15:restartNumberingAfterBreak="0">
    <w:multiLevelType w:val="hybridMultilevel"/>
    <w:lvl w:ilvl="0" w15:tentative="1">
      <w:start w:val="1"/>
      <w:numFmt w:val="decimal"/>
      <w:lvlText w:val="%1."/>
      <w:lvlJc w:val="left"/>
      <w:pPr>
        <w:ind w:left="400" w:hanging="260"/>
      </w:pPr>
      <w:rPr>
        <w:b/>
        <w:bCs/>
        <w:color w:val="1E2761"/>
      </w:rPr>
    </w:lvl>
  </w:abstractNum>
  <w:abstractNum w:abstractNumId="4" w15:restartNumberingAfterBreak="0">
    <w:multiLevelType w:val="hybridMultilevel"/>
    <w:lvl w:ilvl="0" w15:tentative="1">
      <w:start w:val="1"/>
      <w:numFmt w:val="decimal"/>
      <w:lvlText w:val="%1."/>
      <w:lvlJc w:val="left"/>
      <w:pPr>
        <w:ind w:left="400" w:hanging="260"/>
      </w:pPr>
      <w:rPr>
        <w:b/>
        <w:bCs/>
        <w:color w:val="1E2761"/>
      </w:rPr>
    </w:lvl>
  </w:abstractNum>
  <w:abstractNum w:abstractNumId="5" w15:restartNumberingAfterBreak="0">
    <w:multiLevelType w:val="hybridMultilevel"/>
    <w:lvl w:ilvl="0" w15:tentative="1">
      <w:start w:val="1"/>
      <w:numFmt w:val="decimal"/>
      <w:lvlText w:val="%1."/>
      <w:lvlJc w:val="left"/>
      <w:pPr>
        <w:ind w:left="400" w:hanging="260"/>
      </w:pPr>
      <w:rPr>
        <w:b/>
        <w:bCs/>
        <w:color w:val="1E276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Formularz samoidentyfikacji podmiotu — UoKSC / NIS2</dc:title>
  <dc:creator>LT MASTERY Szkolenia dla Biznesu Piotr Szymczyk</dc:creator>
  <cp:lastModifiedBy>Un-named</cp:lastModifiedBy>
  <cp:revision>1</cp:revision>
  <dcterms:created xsi:type="dcterms:W3CDTF">2026-09-07T10:25:25.204Z</dcterms:created>
  <dcterms:modified xsi:type="dcterms:W3CDTF">2026-09-07T10:25:25.204Z</dcterms:modified>
</cp:coreProperties>
</file>

<file path=docProps/custom.xml><?xml version="1.0" encoding="utf-8"?>
<Properties xmlns="http://schemas.openxmlformats.org/officeDocument/2006/custom-properties" xmlns:vt="http://schemas.openxmlformats.org/officeDocument/2006/docPropsVTypes"/>
</file>