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6FB2"/>
          <w:spacing w:val="40"/>
          <w:sz w:val="18"/>
          <w:szCs w:val="18"/>
        </w:rPr>
        <w:t>WZÓR WYPEŁNIONY DLA UCZESTNIKA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E2761"/>
          <w:sz w:val="32"/>
          <w:szCs w:val="32"/>
        </w:rPr>
        <w:t xml:space="preserve">Ćwiczenie 2 — Macierz odpowiedzialności RACI</w:t>
      </w:r>
    </w:p>
    <w:p>
      <w:pPr>
        <w:pBdr>
          <w:bottom w:val="single" w:color="1F6FB2" w:sz="12" w:space="6"/>
        </w:pBdr>
        <w:spacing w:after="220"/>
      </w:pPr>
      <w:r>
        <w:rPr>
          <w:rFonts w:ascii="Calibri" w:cs="Calibri" w:eastAsia="Calibri" w:hAnsi="Calibri"/>
          <w:i/>
          <w:iCs/>
          <w:color w:val="5A6B7C"/>
          <w:sz w:val="20"/>
          <w:szCs w:val="20"/>
        </w:rPr>
        <w:t>Przykładowo wypełniona macierz — do analizy po szkoleniu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2300"/>
        <w:gridCol w:w="2380"/>
        <w:gridCol w:w="2300"/>
        <w:gridCol w:w="2380"/>
      </w:tblGrid>
      <w:tr>
        <w:trPr>
          <w:cantSplit/>
          <w:trHeight w:val="560" w:hRule="atLeast"/>
        </w:trPr>
        <w:tc>
          <w:tcPr>
            <w:tcW w:type="dxa" w:w="2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Imię i nazwisko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Organizacja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Data szkolenia</w:t>
            </w:r>
          </w:p>
        </w:tc>
        <w:tc>
          <w:tcPr>
            <w:tcW w:type="dxa" w:w="23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Moduł</w:t>
            </w:r>
          </w:p>
        </w:tc>
        <w:tc>
          <w:tcPr>
            <w:tcW w:type="dxa" w:w="23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1F6FB2" w:sz="8"/>
          <w:left w:val="single" w:color="1F6FB2" w:sz="8"/>
          <w:bottom w:val="single" w:color="1F6FB2" w:sz="8"/>
          <w:right w:val="single" w:color="1F6FB2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E8EEF4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Cel ćwiczenia: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Przypisać odpowiedzialność za każdy z 10 obszarów środków bezpieczeństwa z art. 8 UoKSC, a następnie wskazać obszar, w którym brak właściciela bezpośrednio umożliwił incydent z 29 grudnia. Czas: 12 minut + 5 minut omówienia. Dane wejściowe: Scenariusz, Część II, rozdziały 6 i 7.</w:t>
            </w:r>
          </w:p>
          <w:p>
            <w:r>
              <w:rPr>
                <w:rFonts w:ascii="Calibri" w:hAnsi="Calibri"/>
                <w:b/>
                <w:color w:val="1E2761"/>
                <w:sz w:val="21"/>
              </w:rPr>
              <w:t>Jak korzystać z tego wzoru:</w:t>
            </w:r>
            <w:r>
              <w:rPr>
                <w:rFonts w:ascii="Calibri" w:hAnsi="Calibri"/>
                <w:b w:val="0"/>
                <w:color w:val="333333"/>
                <w:sz w:val="21"/>
              </w:rPr>
              <w:t xml:space="preserve"> To jest przykładowo wypełniona macierz oparta na materiałach szkolenia. Jeżeli podczas zajęć nie zdążyłeś/aś dokończyć ćwiczenia, przeanalizuj przypisania w Części A, a Część B (Twoja organizacja) uzupełnij samodzielnie.</w:t>
            </w:r>
          </w:p>
        </w:tc>
      </w:tr>
    </w:tbl>
    <w:p>
      <w:pPr>
        <w:spacing w:after="180"/>
      </w:pPr>
    </w:p>
    <w:tbl>
      <w:tblPr>
        <w:tblW w:type="dxa" w:w="9360"/>
        <w:tblBorders>
          <w:top w:val="single" w:color="5A6B7C" w:sz="8"/>
          <w:left w:val="single" w:color="5A6B7C" w:sz="8"/>
          <w:bottom w:val="single" w:color="5A6B7C" w:sz="8"/>
          <w:right w:val="single" w:color="5A6B7C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2F5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Legenda: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R — wykonuje  ·  A — odpowiada i rozlicza (zawsze dokładnie jedna osoba w wierszu)  ·  C — konsultowany  ·  I — informowany. Wpisuj konkretne role z Części II rozdz. 6, nie nazwy działów.</w:t>
            </w:r>
          </w:p>
        </w:tc>
      </w:tr>
    </w:tbl>
    <w:p>
      <w:pPr>
        <w:spacing w:after="220"/>
      </w:pPr>
    </w:p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A. Macierz dla NOVENERGII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2050"/>
        <w:gridCol w:w="900"/>
        <w:gridCol w:w="780"/>
        <w:gridCol w:w="900"/>
        <w:gridCol w:w="850"/>
        <w:gridCol w:w="1080"/>
        <w:gridCol w:w="2800"/>
      </w:tblGrid>
      <w:tr>
        <w:trPr>
          <w:cantSplit/>
          <w:tblHeader/>
        </w:trPr>
        <w:tc>
          <w:tcPr>
            <w:tcW w:type="dxa" w:w="205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Obszar art. 8 UoKSC</w:t>
            </w:r>
          </w:p>
        </w:tc>
        <w:tc>
          <w:tcPr>
            <w:tcW w:type="dxa" w:w="9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Zarząd</w:t>
            </w:r>
          </w:p>
        </w:tc>
        <w:tc>
          <w:tcPr>
            <w:tcW w:type="dxa" w:w="78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Kier. IT</w:t>
            </w:r>
          </w:p>
        </w:tc>
        <w:tc>
          <w:tcPr>
            <w:tcW w:type="dxa" w:w="9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Kier. utrzym.</w:t>
            </w:r>
          </w:p>
        </w:tc>
        <w:tc>
          <w:tcPr>
            <w:tcW w:type="dxa" w:w="85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Księg.</w:t>
            </w:r>
          </w:p>
        </w:tc>
        <w:tc>
          <w:tcPr>
            <w:tcW w:type="dxa" w:w="108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Kadry / prawnik</w:t>
            </w:r>
          </w:p>
        </w:tc>
        <w:tc>
          <w:tcPr>
            <w:tcW w:type="dxa" w:w="28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Stan w NOVENERGII</w:t>
            </w:r>
          </w:p>
        </w:tc>
      </w:tr>
      <w:tr>
        <w:trPr>
          <w:cantSplit/>
          <w:trHeight w:val="560" w:hRule="atLeast"/>
        </w:trPr>
        <w:tc>
          <w:tcPr>
            <w:tcW w:type="dxa" w:w="205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1. Polityki i szacowanie ryzyka</w:t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A</w:t>
            </w:r>
          </w:p>
        </w:tc>
        <w:tc>
          <w:tcPr>
            <w:tcW w:type="dxa" w:w="7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R</w:t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C</w:t>
            </w:r>
          </w:p>
        </w:tc>
        <w:tc>
          <w:tcPr>
            <w:tcW w:type="dxa" w:w="85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I</w:t>
            </w:r>
          </w:p>
        </w:tc>
        <w:tc>
          <w:tcPr>
            <w:tcW w:type="dxa" w:w="10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I</w:t>
            </w:r>
          </w:p>
        </w:tc>
        <w:tc>
          <w:tcPr>
            <w:tcW w:type="dxa" w:w="2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Polityka z 2019 r., brak analizy ryzyka</w:t>
            </w:r>
          </w:p>
        </w:tc>
      </w:tr>
      <w:tr>
        <w:trPr>
          <w:cantSplit/>
          <w:trHeight w:val="560" w:hRule="atLeast"/>
        </w:trPr>
        <w:tc>
          <w:tcPr>
            <w:tcW w:type="dxa" w:w="205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2. Nabywanie i rozwój systemów</w:t>
            </w:r>
          </w:p>
        </w:tc>
        <w:tc>
          <w:tcPr>
            <w:tcW w:type="dxa" w:w="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I</w:t>
            </w:r>
          </w:p>
        </w:tc>
        <w:tc>
          <w:tcPr>
            <w:tcW w:type="dxa" w:w="7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A</w:t>
            </w:r>
          </w:p>
        </w:tc>
        <w:tc>
          <w:tcPr>
            <w:tcW w:type="dxa" w:w="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R</w:t>
            </w:r>
          </w:p>
        </w:tc>
        <w:tc>
          <w:tcPr>
            <w:tcW w:type="dxa" w:w="85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C</w:t>
            </w:r>
          </w:p>
        </w:tc>
        <w:tc>
          <w:tcPr>
            <w:tcW w:type="dxa" w:w="10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C</w:t>
            </w:r>
          </w:p>
        </w:tc>
        <w:tc>
          <w:tcPr>
            <w:tcW w:type="dxa" w:w="28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Brak wymagań bezpieczeństwa w zakupach i przy odbiorze wdrożeń</w:t>
            </w:r>
          </w:p>
        </w:tc>
      </w:tr>
      <w:tr>
        <w:trPr>
          <w:cantSplit/>
          <w:trHeight w:val="560" w:hRule="atLeast"/>
        </w:trPr>
        <w:tc>
          <w:tcPr>
            <w:tcW w:type="dxa" w:w="205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3. Bezpieczeństwo fizyczne</w:t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I</w:t>
            </w:r>
          </w:p>
        </w:tc>
        <w:tc>
          <w:tcPr>
            <w:tcW w:type="dxa" w:w="7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C</w:t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A / R</w:t>
            </w:r>
          </w:p>
        </w:tc>
        <w:tc>
          <w:tcPr>
            <w:tcW w:type="dxa" w:w="85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I</w:t>
            </w:r>
          </w:p>
        </w:tc>
        <w:tc>
          <w:tcPr>
            <w:tcW w:type="dxa" w:w="10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I</w:t>
            </w:r>
          </w:p>
        </w:tc>
        <w:tc>
          <w:tcPr>
            <w:tcW w:type="dxa" w:w="2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Kontrola dostępu na obiektach wdrożona</w:t>
            </w:r>
          </w:p>
        </w:tc>
      </w:tr>
      <w:tr>
        <w:trPr>
          <w:cantSplit/>
          <w:trHeight w:val="560" w:hRule="atLeast"/>
        </w:trPr>
        <w:tc>
          <w:tcPr>
            <w:tcW w:type="dxa" w:w="205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4. Zasoby ludzkie</w:t>
            </w:r>
          </w:p>
        </w:tc>
        <w:tc>
          <w:tcPr>
            <w:tcW w:type="dxa" w:w="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A</w:t>
            </w:r>
          </w:p>
        </w:tc>
        <w:tc>
          <w:tcPr>
            <w:tcW w:type="dxa" w:w="7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C</w:t>
            </w:r>
          </w:p>
        </w:tc>
        <w:tc>
          <w:tcPr>
            <w:tcW w:type="dxa" w:w="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I</w:t>
            </w:r>
          </w:p>
        </w:tc>
        <w:tc>
          <w:tcPr>
            <w:tcW w:type="dxa" w:w="85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I</w:t>
            </w:r>
          </w:p>
        </w:tc>
        <w:tc>
          <w:tcPr>
            <w:tcW w:type="dxa" w:w="10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R</w:t>
            </w:r>
          </w:p>
        </w:tc>
        <w:tc>
          <w:tcPr>
            <w:tcW w:type="dxa" w:w="28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Brak szkoleń, brak weryfikacji niekaralności</w:t>
            </w:r>
          </w:p>
        </w:tc>
      </w:tr>
      <w:tr>
        <w:trPr>
          <w:cantSplit/>
          <w:trHeight w:val="560" w:hRule="atLeast"/>
        </w:trPr>
        <w:tc>
          <w:tcPr>
            <w:tcW w:type="dxa" w:w="205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5. Łańcuch dostaw ICT</w:t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A</w:t>
            </w:r>
          </w:p>
        </w:tc>
        <w:tc>
          <w:tcPr>
            <w:tcW w:type="dxa" w:w="7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R</w:t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C</w:t>
            </w:r>
          </w:p>
        </w:tc>
        <w:tc>
          <w:tcPr>
            <w:tcW w:type="dxa" w:w="85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C</w:t>
            </w:r>
          </w:p>
        </w:tc>
        <w:tc>
          <w:tcPr>
            <w:tcW w:type="dxa" w:w="10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R</w:t>
            </w:r>
          </w:p>
        </w:tc>
        <w:tc>
          <w:tcPr>
            <w:tcW w:type="dxa" w:w="2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Brak rejestru dostawców i klauzul bezpieczeństwa</w:t>
            </w:r>
          </w:p>
        </w:tc>
      </w:tr>
      <w:tr>
        <w:trPr>
          <w:cantSplit/>
          <w:trHeight w:val="560" w:hRule="atLeast"/>
        </w:trPr>
        <w:tc>
          <w:tcPr>
            <w:tcW w:type="dxa" w:w="205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6. Tożsamość i dostęp</w:t>
            </w:r>
          </w:p>
        </w:tc>
        <w:tc>
          <w:tcPr>
            <w:tcW w:type="dxa" w:w="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I</w:t>
            </w:r>
          </w:p>
        </w:tc>
        <w:tc>
          <w:tcPr>
            <w:tcW w:type="dxa" w:w="7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A / R</w:t>
            </w:r>
          </w:p>
        </w:tc>
        <w:tc>
          <w:tcPr>
            <w:tcW w:type="dxa" w:w="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R</w:t>
            </w:r>
          </w:p>
        </w:tc>
        <w:tc>
          <w:tcPr>
            <w:tcW w:type="dxa" w:w="85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I</w:t>
            </w:r>
          </w:p>
        </w:tc>
        <w:tc>
          <w:tcPr>
            <w:tcW w:type="dxa" w:w="10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C</w:t>
            </w:r>
          </w:p>
        </w:tc>
        <w:tc>
          <w:tcPr>
            <w:tcW w:type="dxa" w:w="28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Brak MFA na VPN, wspólne konta integratora, brak przeglądów</w:t>
            </w:r>
          </w:p>
        </w:tc>
      </w:tr>
      <w:tr>
        <w:trPr>
          <w:cantSplit/>
          <w:trHeight w:val="560" w:hRule="atLeast"/>
        </w:trPr>
        <w:tc>
          <w:tcPr>
            <w:tcW w:type="dxa" w:w="205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7. Kryptografia</w:t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I</w:t>
            </w:r>
          </w:p>
        </w:tc>
        <w:tc>
          <w:tcPr>
            <w:tcW w:type="dxa" w:w="7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A / R</w:t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C</w:t>
            </w:r>
          </w:p>
        </w:tc>
        <w:tc>
          <w:tcPr>
            <w:tcW w:type="dxa" w:w="85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I</w:t>
            </w:r>
          </w:p>
        </w:tc>
        <w:tc>
          <w:tcPr>
            <w:tcW w:type="dxa" w:w="10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I</w:t>
            </w:r>
          </w:p>
        </w:tc>
        <w:tc>
          <w:tcPr>
            <w:tcW w:type="dxa" w:w="2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Częściowo — TLS na usługach zewnętrznych</w:t>
            </w:r>
          </w:p>
        </w:tc>
      </w:tr>
      <w:tr>
        <w:trPr>
          <w:cantSplit/>
          <w:trHeight w:val="560" w:hRule="atLeast"/>
        </w:trPr>
        <w:tc>
          <w:tcPr>
            <w:tcW w:type="dxa" w:w="205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8. Monitorowanie i reagowanie</w:t>
            </w:r>
          </w:p>
        </w:tc>
        <w:tc>
          <w:tcPr>
            <w:tcW w:type="dxa" w:w="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A</w:t>
            </w:r>
          </w:p>
        </w:tc>
        <w:tc>
          <w:tcPr>
            <w:tcW w:type="dxa" w:w="7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R</w:t>
            </w:r>
          </w:p>
        </w:tc>
        <w:tc>
          <w:tcPr>
            <w:tcW w:type="dxa" w:w="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C</w:t>
            </w:r>
          </w:p>
        </w:tc>
        <w:tc>
          <w:tcPr>
            <w:tcW w:type="dxa" w:w="85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I</w:t>
            </w:r>
          </w:p>
        </w:tc>
        <w:tc>
          <w:tcPr>
            <w:tcW w:type="dxa" w:w="10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I</w:t>
            </w:r>
          </w:p>
        </w:tc>
        <w:tc>
          <w:tcPr>
            <w:tcW w:type="dxa" w:w="28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Monitoring 8×5, brak obsługi alertów poza godzinami pracy</w:t>
            </w:r>
          </w:p>
        </w:tc>
      </w:tr>
      <w:tr>
        <w:trPr>
          <w:cantSplit/>
          <w:trHeight w:val="560" w:hRule="atLeast"/>
        </w:trPr>
        <w:tc>
          <w:tcPr>
            <w:tcW w:type="dxa" w:w="205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9. Ciągłość działania</w:t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A</w:t>
            </w:r>
          </w:p>
        </w:tc>
        <w:tc>
          <w:tcPr>
            <w:tcW w:type="dxa" w:w="7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R</w:t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R</w:t>
            </w:r>
          </w:p>
        </w:tc>
        <w:tc>
          <w:tcPr>
            <w:tcW w:type="dxa" w:w="85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C</w:t>
            </w:r>
          </w:p>
        </w:tc>
        <w:tc>
          <w:tcPr>
            <w:tcW w:type="dxa" w:w="10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I</w:t>
            </w:r>
          </w:p>
        </w:tc>
        <w:tc>
          <w:tcPr>
            <w:tcW w:type="dxa" w:w="2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Plan z 2021 r., ostatni test odtworzenia w 2023 r.</w:t>
            </w:r>
          </w:p>
        </w:tc>
      </w:tr>
      <w:tr>
        <w:trPr>
          <w:cantSplit/>
          <w:trHeight w:val="560" w:hRule="atLeast"/>
        </w:trPr>
        <w:tc>
          <w:tcPr>
            <w:tcW w:type="dxa" w:w="205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10. Zarządzanie incydentami</w:t>
            </w:r>
          </w:p>
        </w:tc>
        <w:tc>
          <w:tcPr>
            <w:tcW w:type="dxa" w:w="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A</w:t>
            </w:r>
          </w:p>
        </w:tc>
        <w:tc>
          <w:tcPr>
            <w:tcW w:type="dxa" w:w="7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R</w:t>
            </w:r>
          </w:p>
        </w:tc>
        <w:tc>
          <w:tcPr>
            <w:tcW w:type="dxa" w:w="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R</w:t>
            </w:r>
          </w:p>
        </w:tc>
        <w:tc>
          <w:tcPr>
            <w:tcW w:type="dxa" w:w="85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I</w:t>
            </w:r>
          </w:p>
        </w:tc>
        <w:tc>
          <w:tcPr>
            <w:tcW w:type="dxa" w:w="10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C</w:t>
            </w:r>
          </w:p>
        </w:tc>
        <w:tc>
          <w:tcPr>
            <w:tcW w:type="dxa" w:w="28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Procedura z 2019 r., nigdy nieprzećwiczona, brak wskazanego CSIRT</w:t>
            </w:r>
          </w:p>
        </w:tc>
      </w:tr>
    </w:tbl>
    <w:p>
      <w:pPr>
        <w:spacing w:after="200"/>
      </w:pPr>
      <w:r>
        <w:rPr>
          <w:rFonts w:ascii="Calibri" w:hAnsi="Calibri"/>
          <w:b w:val="0"/>
          <w:color w:val="333333"/>
          <w:sz w:val="21"/>
        </w:rPr>
        <w:t>Uzasadnienie kluczowych przypisań: obszary 1, 8 i 9 mają „A” po stronie zarządu, bo dotyczą decyzji strategicznych i budżetowych (polityka i kryteria akceptacji ryzyka, tryb monitorowania 24/7, parametry RTO/RPO). Obszar 3 ma „A/R” po stronie kierownika utrzymania, bo obiekty GPO są bezobsługowe. Obszary 4 i 5 obciążają kadry i księgowość zgodnie z art. 8e i 8f oraz rolą księgowości jako jedynego kompletnego źródła danych o dostawcach. Obszar 6 dzieli odpowiedzialność między IT i utrzymanie, bo konta serwisowe integratora są po stronie obiektowej. To nie jest jedyna poprawna macierz — kluczowe jest dokładnie jedno „A” w wierszu i możliwość uzasadnienia przypisania.</w:t>
      </w:r>
    </w:p>
    <w:p>
      <w:pPr>
        <w:pStyle w:val="Heading2"/>
        <w:keepNext/>
        <w:spacing w:after="90" w:before="240"/>
      </w:pPr>
      <w:r>
        <w:rPr>
          <w:rFonts w:ascii="Calibri" w:cs="Calibri" w:eastAsia="Calibri" w:hAnsi="Calibri"/>
          <w:b/>
          <w:bCs/>
          <w:color w:val="1F6FB2"/>
          <w:sz w:val="23"/>
          <w:szCs w:val="23"/>
        </w:rPr>
        <w:t xml:space="preserve">Pytanie kluczowe</w:t>
      </w:r>
    </w:p>
    <w:p>
      <w:pPr>
        <w:spacing w:after="11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Wskaż jeden obszar, w którym brak właściciela bezpośrednio umożliwił przebieg zdarzeń z 29 grudnia. Uzasadnij, odwołując się do osi czasu z Części III scenariusza.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hAnsi="Calibri"/>
          <w:b w:val="0"/>
          <w:color w:val="333333"/>
          <w:sz w:val="21"/>
        </w:rPr>
        <w:t>Obszar 8 — monitorowanie i reagowanie. Nikt nie odpowiadał za obsługę alertów poza godzinami pracy: dyżurni operatorzy pracują całodobowo, ale wyłącznie w zakresie ruchowym, a dwuosobowy dział IT pracuje 8×5. W efekcie skanowanie sieci 25 grudnia o 03:20 nie zostało zauważone, a 29 grudnia od pierwszego sygnału o 08:05 do eskalacji do zarządu minęło ponad 8 godzin. Równie dobrze uzasadnione są: obszar 6 (te same konta serwisowe integratora bez MFA — faktyczny wektor wejścia 8 grudnia), obszar 5 (umowa z integratorem z 2019 r. bez klauzul bezpieczeństwa i bez nadzoru nad dostawcą) oraz obszar 2 (hasła domyślne na RTU i sterownikach zabezpieczeń, nigdy niezmienione po odbiorze wdrożenia). Wszystkie cztery opisują ten sam mechanizm: obowiązek istniał, wszyscy o nim wiedzieli, nikt nie czuł się jego właścicielem — luka organizacyjna, nie technologiczna.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B. Twoja organizacja</w:t>
      </w:r>
    </w:p>
    <w:p>
      <w:pPr>
        <w:spacing w:after="14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Wpisz konkretne imiona i nazwiska, nie nazwy stanowisk ani działów. Wiersz, w którym nie potrafisz nikogo wpisać, jest Twoją luką.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2600"/>
        <w:gridCol w:w="1300"/>
        <w:gridCol w:w="1300"/>
        <w:gridCol w:w="1300"/>
        <w:gridCol w:w="1400"/>
        <w:gridCol w:w="1460"/>
      </w:tblGrid>
      <w:tr>
        <w:trPr>
          <w:cantSplit/>
          <w:tblHeader/>
        </w:trPr>
        <w:tc>
          <w:tcPr>
            <w:tcW w:type="dxa" w:w="26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Obszar art. 8 UoKSC</w:t>
            </w:r>
          </w:p>
        </w:tc>
        <w:tc>
          <w:tcPr>
            <w:tcW w:type="dxa" w:w="13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Rola 1</w:t>
            </w:r>
          </w:p>
        </w:tc>
        <w:tc>
          <w:tcPr>
            <w:tcW w:type="dxa" w:w="13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Rola 2</w:t>
            </w:r>
          </w:p>
        </w:tc>
        <w:tc>
          <w:tcPr>
            <w:tcW w:type="dxa" w:w="13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Rola 3</w:t>
            </w:r>
          </w:p>
        </w:tc>
        <w:tc>
          <w:tcPr>
            <w:tcW w:type="dxa" w:w="14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Rola 4</w:t>
            </w:r>
          </w:p>
        </w:tc>
        <w:tc>
          <w:tcPr>
            <w:tcW w:type="dxa" w:w="14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Rola 5</w:t>
            </w:r>
          </w:p>
        </w:tc>
      </w:tr>
      <w:tr>
        <w:trPr>
          <w:cantSplit/>
          <w:trHeight w:val="560" w:hRule="atLeast"/>
        </w:trPr>
        <w:tc>
          <w:tcPr>
            <w:tcW w:type="dxa" w:w="2600"/>
            <w:shd w:fill="E8EE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Wpisz nazwy ról / nazwiska →</w:t>
            </w:r>
          </w:p>
        </w:tc>
        <w:tc>
          <w:tcPr>
            <w:tcW w:type="dxa" w:w="1300"/>
            <w:shd w:fill="E8EE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E8EE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E8EE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E8EE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60"/>
            <w:shd w:fill="E8EE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1. Polityki i szacowanie ryzyka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2. Nabywanie i rozwój systemów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3. Bezpieczeństwo fizyczne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4. Zasoby ludzkie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5. Łańcuch dostaw ICT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6. Tożsamość i dostęp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7. Kryptografia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8. Monitorowanie i reagowanie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9. Ciągłość działania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10. Zarządzanie incydentami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140"/>
      </w:pPr>
    </w:p>
    <w:tbl>
      <w:tblPr>
        <w:tblW w:type="dxa" w:w="9360"/>
        <w:tblBorders>
          <w:top w:val="single" w:color="C97A1F" w:sz="8"/>
          <w:left w:val="single" w:color="C97A1F" w:sz="8"/>
          <w:bottom w:val="single" w:color="C97A1F" w:sz="8"/>
          <w:right w:val="single" w:color="C97A1F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FF7D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Test poprawności: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Każdy wiersz ma dokładnie jedno „A”, przypisane osobie, nie działowi. Jeżeli w którymś wierszu nie ma nikogo — zapisz ten obszar poniżej. To jest pierwsza pozycja Twojego planu z Ćwiczenia 6.</w:t>
            </w:r>
          </w:p>
        </w:tc>
      </w:tr>
    </w:tbl>
    <w:p>
      <w:pPr>
        <w:spacing w:after="120"/>
      </w:pPr>
    </w:p>
    <w:p>
      <w:pPr>
        <w:spacing w:after="70" w:before="0"/>
      </w:pPr>
      <w:r>
        <w:rPr>
          <w:rFonts w:ascii="Calibri" w:cs="Calibri" w:eastAsia="Calibri" w:hAnsi="Calibri"/>
          <w:b/>
          <w:bCs/>
          <w:color w:val="1E2761"/>
          <w:sz w:val="21"/>
          <w:szCs w:val="21"/>
        </w:rPr>
        <w:t xml:space="preserve">Obszary bez właściciela w mojej organizacji: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B7C"/>
        <w:sz w:val="16"/>
        <w:szCs w:val="16"/>
      </w:rPr>
      <w:t xml:space="preserve">Strona </w:t>
    </w:r>
    <w:r>
      <w:rPr>
        <w:rFonts w:ascii="Calibri" w:cs="Calibri" w:eastAsia="Calibri" w:hAnsi="Calibri"/>
        <w:color w:val="5A6B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C"/>
        <w:sz w:val="16"/>
        <w:szCs w:val="16"/>
      </w:rPr>
      <w:t xml:space="preserve"> z </w:t>
    </w:r>
    <w:r>
      <w:rPr>
        <w:rFonts w:ascii="Calibri" w:cs="Calibri" w:eastAsia="Calibri" w:hAnsi="Calibri"/>
        <w:color w:val="5A6B7C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6D2DE" w:sz="4" w:space="3"/>
      </w:pBdr>
      <w:spacing w:after="0"/>
      <w:jc w:val="right"/>
    </w:pPr>
    <w:r>
      <w:rPr>
        <w:rFonts w:ascii="Calibri" w:cs="Calibri" w:eastAsia="Calibri" w:hAnsi="Calibri"/>
        <w:b w:val="false"/>
        <w:bCs w:val="false"/>
        <w:color w:val="5A6B7C"/>
        <w:sz w:val="16"/>
        <w:szCs w:val="16"/>
      </w:rPr>
      <w:t xml:space="preserve">Szkolenie NIS2 / UoKSC w praktyce  ·  LT MASTERY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340" w:hanging="200"/>
      </w:pPr>
      <w:rPr>
        <w:color w:val="1F6FB2"/>
      </w:rPr>
    </w:lvl>
    <w:lvl w:ilvl="1" w15:tentative="1">
      <w:start w:val="1"/>
      <w:numFmt w:val="bullet"/>
      <w:lvlText w:val="–"/>
      <w:lvlJc w:val="left"/>
      <w:pPr>
        <w:ind w:left="70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  <w:rPr>
        <w:b/>
        <w:bCs/>
        <w:color w:val="1E276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Ćwiczenie 2 — Macierz odpowiedzialności RACI</dc:title>
  <dc:creator>LT MASTERY Szkolenia dla Biznesu Piotr Szymczyk</dc:creator>
  <cp:lastModifiedBy>Un-named</cp:lastModifiedBy>
  <cp:revision>1</cp:revision>
  <dcterms:created xsi:type="dcterms:W3CDTF">2026-08-28T11:55:43.605Z</dcterms:created>
  <dcterms:modified xsi:type="dcterms:W3CDTF">2026-08-28T11:55:43.605Z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