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6FB2"/>
          <w:spacing w:val="40"/>
          <w:sz w:val="18"/>
          <w:szCs w:val="18"/>
        </w:rPr>
        <w:t xml:space="preserve">MATERIAŁ DLA UCZESTNIKA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E2761"/>
          <w:sz w:val="32"/>
          <w:szCs w:val="32"/>
        </w:rPr>
        <w:t xml:space="preserve">Ćwiczenie 3 — Rejestr ryzyk</w:t>
      </w:r>
    </w:p>
    <w:p>
      <w:pPr>
        <w:pBdr>
          <w:bottom w:val="single" w:color="1F6FB2" w:sz="12" w:space="6"/>
        </w:pBdr>
        <w:spacing w:after="220"/>
      </w:pPr>
      <w:r>
        <w:rPr>
          <w:rFonts w:ascii="Calibri" w:cs="Calibri" w:eastAsia="Calibri" w:hAnsi="Calibri"/>
          <w:i/>
          <w:iCs/>
          <w:color w:val="5A6B7C"/>
          <w:sz w:val="20"/>
          <w:szCs w:val="20"/>
        </w:rPr>
        <w:t xml:space="preserve">Analiza ryzyka dla infrastruktury NOVENERGII · Moduł 3 · Formularz do wypełnienia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300"/>
        <w:gridCol w:w="2380"/>
        <w:gridCol w:w="2300"/>
        <w:gridCol w:w="2380"/>
      </w:tblGrid>
      <w:tr>
        <w:trPr>
          <w:cantSplit/>
          <w:trHeight w:val="560" w:hRule="atLeast"/>
        </w:trPr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Imię i nazwisko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Organizacja</w:t>
            </w:r>
          </w:p>
        </w:tc>
        <w:tc>
          <w:tcPr>
            <w:tcW w:type="dxa" w:w="238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20"/>
                <w:szCs w:val="20"/>
              </w:rPr>
              <w:t xml:space="preserve">Data szkolenia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>Moduł</w:t>
            </w:r>
          </w:p>
        </w:tc>
        <w:tc>
          <w:tcPr>
            <w:tcW w:type="dxa" w:w="238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200"/>
      </w:pPr>
    </w:p>
    <w:tbl>
      <w:tblPr>
        <w:tblW w:type="dxa" w:w="9360"/>
        <w:tblBorders>
          <w:top w:val="single" w:color="1F6FB2" w:sz="8"/>
          <w:left w:val="single" w:color="1F6FB2" w:sz="8"/>
          <w:bottom w:val="single" w:color="1F6FB2" w:sz="8"/>
          <w:right w:val="single" w:color="1F6FB2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E8EEF4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Cel ćwiczenia: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Zbudować rejestr ryzyk dla infrastruktury NOVENERGII zgodnie z metodyką z Modułu 3, a następnie przenieść strukturę na własną organizację. Czas: 15 minut + 5 minut omówienia. Dane wejściowe: Scenariusz, Część II rozdz. 3–5 oraz Część I rozdz. 3–4.</w:t>
            </w:r>
          </w:p>
        </w:tc>
      </w:tr>
    </w:tbl>
    <w:p>
      <w:pPr>
        <w:spacing w:after="200"/>
      </w:pP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1. Kryteria akceptacji ryzyka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Zanim ocenisz ryzyka, ustal progi. W realnym procesie zatwierdza je zarząd — tu przyjmij propozycję i uzasadnij ją.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2200"/>
        <w:gridCol w:w="3200"/>
        <w:gridCol w:w="3960"/>
      </w:tblGrid>
      <w:tr>
        <w:trPr>
          <w:cantSplit/>
          <w:tblHeader/>
        </w:trPr>
        <w:tc>
          <w:tcPr>
            <w:tcW w:type="dxa" w:w="2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Poziom R = P × S</w:t>
            </w:r>
          </w:p>
        </w:tc>
        <w:tc>
          <w:tcPr>
            <w:tcW w:type="dxa" w:w="32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Kwalifikacja</w:t>
            </w:r>
          </w:p>
        </w:tc>
        <w:tc>
          <w:tcPr>
            <w:tcW w:type="dxa" w:w="396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Wymagane działanie</w:t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 – 6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8 – 12</w:t>
            </w:r>
          </w:p>
        </w:tc>
        <w:tc>
          <w:tcPr>
            <w:tcW w:type="dxa" w:w="32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15 – 25</w:t>
            </w:r>
          </w:p>
        </w:tc>
        <w:tc>
          <w:tcPr>
            <w:tcW w:type="dxa" w:w="3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200" w:before="0"/>
      </w:pPr>
      <w:r>
        <w:rPr>
          <w:rFonts w:ascii="Calibri" w:cs="Calibri" w:eastAsia="Calibri" w:hAnsi="Calibri"/>
          <w:i/>
          <w:iCs/>
          <w:color w:val="5A6B7C"/>
          <w:sz w:val="21"/>
          <w:szCs w:val="21"/>
        </w:rPr>
        <w:t xml:space="preserve">Skala: P (prawdopodobieństwo) 1–5, S (skutek) 1–5.</w:t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2. Rejestr ryzyk NOVENERGII</w:t>
      </w:r>
    </w:p>
    <w:p>
      <w:pPr>
        <w:spacing w:after="14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Dwa pierwsze wiersze są wypełnione jako wzór. Uzupełnij pozostałe — minimum pięć kolejnych ryzyk wynikających ze scenariusza.</w:t>
      </w: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600"/>
        <w:gridCol w:w="1600"/>
        <w:gridCol w:w="1750"/>
        <w:gridCol w:w="470"/>
        <w:gridCol w:w="470"/>
        <w:gridCol w:w="520"/>
        <w:gridCol w:w="1800"/>
        <w:gridCol w:w="1150"/>
      </w:tblGrid>
      <w:tr>
        <w:trPr>
          <w:cantSplit/>
          <w:tblHeader/>
        </w:trPr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Aktywo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Zagrożenie</w:t>
            </w:r>
          </w:p>
        </w:tc>
        <w:tc>
          <w:tcPr>
            <w:tcW w:type="dxa" w:w="17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Podatność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5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</w:t>
            </w:r>
          </w:p>
        </w:tc>
        <w:tc>
          <w:tcPr>
            <w:tcW w:type="dxa" w:w="1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Postępowanie</w:t>
            </w:r>
          </w:p>
        </w:tc>
        <w:tc>
          <w:tcPr>
            <w:tcW w:type="dxa" w:w="11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Właściciel</w:t>
            </w:r>
          </w:p>
        </w:tc>
      </w:tr>
      <w:tr>
        <w:trPr>
          <w:cantSplit/>
        </w:trPr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Urządzenie brzegowe na GPO (6 szt.)</w:t>
            </w:r>
          </w:p>
        </w:tc>
        <w:tc>
          <w:tcPr>
            <w:tcW w:type="dxa" w:w="16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Nieuprawniony dostęp zdalny</w:t>
            </w:r>
          </w:p>
        </w:tc>
        <w:tc>
          <w:tcPr>
            <w:tcW w:type="dxa" w:w="17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Interfejs VPN dostępny z Internetu, konta lokalne bez MFA, te same poświadczenia na 6 obiektach</w:t>
            </w:r>
          </w:p>
        </w:tc>
        <w:tc>
          <w:tcPr>
            <w:tcW w:type="dxa" w:w="47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47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52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25</w:t>
            </w:r>
          </w:p>
        </w:tc>
        <w:tc>
          <w:tcPr>
            <w:tcW w:type="dxa" w:w="180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Modyfikacja: MFA, konta imienne, dostęp na żądanie</w:t>
            </w:r>
          </w:p>
        </w:tc>
        <w:tc>
          <w:tcPr>
            <w:tcW w:type="dxa" w:w="1150"/>
            <w:shd w:fill="F2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Kier. IT</w:t>
            </w:r>
          </w:p>
        </w:tc>
      </w:tr>
      <w:tr>
        <w:trPr>
          <w:cantSplit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Sterowniki RTU (6 szt.)</w:t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Wgranie uszkodzonego firmware</w:t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Konto producenta z domyślnym hasłem; weryfikacja podpisu firmware niewłączona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4</w:t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5</w:t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20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Modyfikacja: zmiana haseł, włączenie weryfikacji podpisu</w:t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18"/>
                <w:szCs w:val="18"/>
              </w:rPr>
              <w:t xml:space="preserve">Kier. utrzymania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80"/>
      </w:pPr>
    </w:p>
    <w:p>
      <w:pPr>
        <w:pStyle w:val="Heading2"/>
        <w:keepNext/>
        <w:spacing w:after="90" w:before="240"/>
      </w:pPr>
      <w:r>
        <w:rPr>
          <w:rFonts w:ascii="Calibri" w:cs="Calibri" w:eastAsia="Calibri" w:hAnsi="Calibri"/>
          <w:b/>
          <w:bCs/>
          <w:color w:val="1F6FB2"/>
          <w:sz w:val="23"/>
          <w:szCs w:val="23"/>
        </w:rPr>
        <w:t xml:space="preserve">Krok 3. Pytania kontrolne</w:t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a) Które z zapisanych ryzyk nie jest ryzykiem technicznym? Wskaż je i uzasadnij.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b) Które ryzyka wymagają decyzji zarządu, a które może zamknąć sam zespół IT?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c) Które ryzyko zmaterializowało się jako pierwsze w osi czasu z Części III scenariusza?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pStyle w:val="Heading1"/>
        <w:keepNext/>
        <w:pBdr>
          <w:bottom w:val="single" w:color="1F6FB2" w:sz="8" w:space="4"/>
        </w:pBdr>
        <w:spacing w:after="150" w:before="340"/>
      </w:pPr>
      <w:r>
        <w:rPr>
          <w:rFonts w:ascii="Calibri" w:cs="Calibri" w:eastAsia="Calibri" w:hAnsi="Calibri"/>
          <w:b/>
          <w:bCs/>
          <w:color w:val="1E2761"/>
          <w:sz w:val="26"/>
          <w:szCs w:val="26"/>
        </w:rPr>
        <w:t xml:space="preserve">Krok 4. Twoja organizacja</w:t>
      </w:r>
    </w:p>
    <w:p>
      <w:pPr>
        <w:spacing w:after="130" w:before="0"/>
      </w:pPr>
      <w:r>
        <w:rPr>
          <w:rFonts w:ascii="Calibri" w:cs="Calibri" w:eastAsia="Calibri" w:hAnsi="Calibri"/>
          <w:color w:val="333333"/>
          <w:sz w:val="21"/>
          <w:szCs w:val="21"/>
        </w:rPr>
        <w:t xml:space="preserve">Wybierz jeden proces krytyczny dla swojej usługi i wskaż pięć aktywów, które go wspierają.</w:t>
      </w:r>
    </w:p>
    <w:p>
      <w:pPr>
        <w:spacing w:after="70" w:before="0"/>
      </w:pPr>
      <w:r>
        <w:rPr>
          <w:rFonts w:ascii="Calibri" w:cs="Calibri" w:eastAsia="Calibri" w:hAnsi="Calibri"/>
          <w:b/>
          <w:bCs/>
          <w:color w:val="1E2761"/>
          <w:sz w:val="21"/>
          <w:szCs w:val="21"/>
        </w:rPr>
        <w:t xml:space="preserve">Proces krytyczny:</w:t>
      </w:r>
    </w:p>
    <w:p>
      <w:pPr>
        <w:keepNext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keepNext w:val="false"/>
        <w:pBdr>
          <w:bottom w:val="single" w:color="C6D2DE" w:sz="4" w:space="2"/>
        </w:pBdr>
        <w:spacing w:after="200"/>
      </w:pPr>
      <w:r>
        <w:rPr>
          <w:rFonts w:ascii="Calibri" w:cs="Calibri" w:eastAsia="Calibri" w:hAnsi="Calibri"/>
          <w:sz w:val="21"/>
          <w:szCs w:val="21"/>
        </w:rPr>
        <w:t xml:space="preserve"/>
      </w:r>
    </w:p>
    <w:p>
      <w:pPr>
        <w:spacing w:after="140"/>
      </w:pPr>
    </w:p>
    <w:tbl>
      <w:tblPr>
        <w:tblW w:type="dxa" w:w="9360"/>
        <w:tblBorders>
          <w:top w:val="single" w:color="C6D2DE" w:sz="4"/>
          <w:left w:val="single" w:color="C6D2DE" w:sz="4"/>
          <w:bottom w:val="single" w:color="C6D2DE" w:sz="4"/>
          <w:right w:val="single" w:color="C6D2DE" w:sz="4"/>
          <w:insideH w:val="single" w:color="C6D2DE" w:sz="4"/>
          <w:insideV w:val="single" w:color="C6D2DE" w:sz="4"/>
        </w:tblBorders>
      </w:tblPr>
      <w:tblGrid>
        <w:gridCol w:w="1600"/>
        <w:gridCol w:w="1600"/>
        <w:gridCol w:w="1750"/>
        <w:gridCol w:w="470"/>
        <w:gridCol w:w="470"/>
        <w:gridCol w:w="520"/>
        <w:gridCol w:w="1800"/>
        <w:gridCol w:w="1150"/>
      </w:tblGrid>
      <w:tr>
        <w:trPr>
          <w:cantSplit/>
          <w:tblHeader/>
        </w:trPr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Aktywo</w:t>
            </w:r>
          </w:p>
        </w:tc>
        <w:tc>
          <w:tcPr>
            <w:tcW w:type="dxa" w:w="16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Zagrożenie</w:t>
            </w:r>
          </w:p>
        </w:tc>
        <w:tc>
          <w:tcPr>
            <w:tcW w:type="dxa" w:w="17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Podatność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</w:t>
            </w:r>
          </w:p>
        </w:tc>
        <w:tc>
          <w:tcPr>
            <w:tcW w:type="dxa" w:w="47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S</w:t>
            </w:r>
          </w:p>
        </w:tc>
        <w:tc>
          <w:tcPr>
            <w:tcW w:type="dxa" w:w="52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</w:t>
            </w:r>
          </w:p>
        </w:tc>
        <w:tc>
          <w:tcPr>
            <w:tcW w:type="dxa" w:w="180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Postępowanie</w:t>
            </w:r>
          </w:p>
        </w:tc>
        <w:tc>
          <w:tcPr>
            <w:tcW w:type="dxa" w:w="1150"/>
            <w:shd w:fill="1E276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Właściciel</w:t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800" w:hRule="atLeast"/>
        </w:trPr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7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47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52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  <w:tc>
          <w:tcPr>
            <w:tcW w:type="dxa" w:w="1150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/>
            </w:r>
          </w:p>
        </w:tc>
      </w:tr>
    </w:tbl>
    <w:p>
      <w:pPr>
        <w:spacing w:after="180"/>
      </w:pPr>
    </w:p>
    <w:tbl>
      <w:tblPr>
        <w:tblW w:type="dxa" w:w="9360"/>
        <w:tblBorders>
          <w:top w:val="single" w:color="C97A1F" w:sz="8"/>
          <w:left w:val="single" w:color="C97A1F" w:sz="8"/>
          <w:bottom w:val="single" w:color="C97A1F" w:sz="8"/>
          <w:right w:val="single" w:color="C97A1F" w:sz="8"/>
          <w:insideH w:val="none"/>
          <w:insideV w:val="none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FF7DB" w:color="auto" w:val="clear"/>
            <w:tcMar>
              <w:top w:type="dxa" w:w="110"/>
              <w:left w:type="dxa" w:w="140"/>
              <w:bottom w:type="dxa" w:w="110"/>
              <w:right w:type="dxa" w:w="14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E2761"/>
                <w:sz w:val="21"/>
                <w:szCs w:val="21"/>
              </w:rPr>
              <w:t xml:space="preserve">Zasada:  </w:t>
            </w:r>
            <w:r>
              <w:rPr>
                <w:rFonts w:ascii="Calibri" w:cs="Calibri" w:eastAsia="Calibri" w:hAnsi="Calibri"/>
                <w:color w:val="333333"/>
                <w:sz w:val="21"/>
                <w:szCs w:val="21"/>
              </w:rPr>
              <w:t xml:space="preserve">Zacznij od opisu, nie od liczby. Najpierw zapisz, co konkretnie może się stać i przez co, a dopiero potem oceń P i S. Analizy, w których zaczyna się od cyfr, kończą się tabelami pełnymi czwórek i piątek bez treści — a takiego wyniku nie da się uzasadnić przed audytorem.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5A6B7C"/>
        <w:sz w:val="16"/>
        <w:szCs w:val="16"/>
      </w:rPr>
      <w:t xml:space="preserve">Strona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C"/>
        <w:sz w:val="16"/>
        <w:szCs w:val="16"/>
      </w:rPr>
      <w:t xml:space="preserve"> z </w:t>
    </w:r>
    <w:r>
      <w:rPr>
        <w:rFonts w:ascii="Calibri" w:cs="Calibri" w:eastAsia="Calibri" w:hAnsi="Calibri"/>
        <w:color w:val="5A6B7C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6D2DE" w:sz="4" w:space="3"/>
      </w:pBdr>
      <w:spacing w:after="0"/>
      <w:jc w:val="right"/>
    </w:pPr>
    <w:r>
      <w:rPr>
        <w:rFonts w:ascii="Calibri" w:cs="Calibri" w:eastAsia="Calibri" w:hAnsi="Calibri"/>
        <w:b w:val="false"/>
        <w:bCs w:val="false"/>
        <w:color w:val="5A6B7C"/>
        <w:sz w:val="16"/>
        <w:szCs w:val="16"/>
      </w:rPr>
      <w:t xml:space="preserve">Szkolenie NIS2 / UoKSC w praktyce  ·  LT MASTERY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▪"/>
      <w:lvlJc w:val="left"/>
      <w:pPr>
        <w:ind w:left="340" w:hanging="200"/>
      </w:pPr>
      <w:rPr>
        <w:color w:val="1F6FB2"/>
      </w:rPr>
    </w:lvl>
    <w:lvl w:ilvl="1" w15:tentative="1">
      <w:start w:val="1"/>
      <w:numFmt w:val="bullet"/>
      <w:lvlText w:val="–"/>
      <w:lvlJc w:val="left"/>
      <w:pPr>
        <w:ind w:left="70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260"/>
      </w:pPr>
      <w:rPr>
        <w:b/>
        <w:bCs/>
        <w:color w:val="1E276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Ćwiczenie 3 — Rejestr ryzyk</dc:title>
  <dc:creator>LT MASTERY Szkolenia dla Biznesu Piotr Szymczyk</dc:creator>
  <cp:lastModifiedBy>Un-named</cp:lastModifiedBy>
  <cp:revision>1</cp:revision>
  <dcterms:created xsi:type="dcterms:W3CDTF">2026-08-28T11:55:43.695Z</dcterms:created>
  <dcterms:modified xsi:type="dcterms:W3CDTF">2026-08-28T11:55:43.695Z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