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6FB2"/>
          <w:spacing w:val="40"/>
          <w:sz w:val="18"/>
          <w:szCs w:val="18"/>
        </w:rPr>
        <w:t>WZÓR WYPEŁNIONY DLA UCZESTNIKA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E2761"/>
          <w:sz w:val="32"/>
          <w:szCs w:val="32"/>
        </w:rPr>
        <w:t xml:space="preserve">Ćwiczenie 3 — Rejestr ryzyk</w:t>
      </w:r>
    </w:p>
    <w:p>
      <w:pPr>
        <w:pBdr>
          <w:bottom w:val="single" w:color="1F6FB2" w:sz="12" w:space="6"/>
        </w:pBdr>
        <w:spacing w:after="220"/>
      </w:pPr>
      <w:r>
        <w:rPr>
          <w:rFonts w:ascii="Calibri" w:cs="Calibri" w:eastAsia="Calibri" w:hAnsi="Calibri"/>
          <w:i/>
          <w:iCs/>
          <w:color w:val="5A6B7C"/>
          <w:sz w:val="20"/>
          <w:szCs w:val="20"/>
        </w:rPr>
        <w:t>Przykładowo wypełniony rejestr — do analizy po szkoleniu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300"/>
        <w:gridCol w:w="2380"/>
        <w:gridCol w:w="2300"/>
        <w:gridCol w:w="2380"/>
      </w:tblGrid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Organizacja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Data szkolenia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Moduł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Cel ćwiczenia: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Zbudować rejestr ryzyk dla infrastruktury NOVENERGII zgodnie z metodyką z Modułu 3, a następnie przenieść strukturę na własną organizację. Czas: 15 minut + 5 minut omówienia. Dane wejściowe: Scenariusz, Część II rozdz. 3–5 oraz Część I rozdz. 3–4.</w:t>
            </w:r>
          </w:p>
          <w:p>
            <w:r>
              <w:rPr>
                <w:rFonts w:ascii="Calibri" w:hAnsi="Calibri"/>
                <w:b/>
                <w:color w:val="1E2761"/>
                <w:sz w:val="21"/>
              </w:rPr>
              <w:t>Jak korzystać z tego wzoru:</w:t>
            </w:r>
            <w:r>
              <w:rPr>
                <w:rFonts w:ascii="Calibri" w:hAnsi="Calibri"/>
                <w:b w:val="0"/>
                <w:color w:val="333333"/>
                <w:sz w:val="21"/>
              </w:rPr>
              <w:t xml:space="preserve"> To jest przykładowo wypełniony rejestr ryzyk oparty na materiałach szkolenia. Jeżeli podczas zajęć nie zdążyłeś/aś dokończyć ćwiczenia, przeanalizuj oceny i uzasadnienia w Kroku 2, a Krok 4 (Twoja organizacja) uzupełnij samodzielnie.</w:t>
            </w:r>
          </w:p>
        </w:tc>
      </w:tr>
    </w:tbl>
    <w:p>
      <w:pPr>
        <w:spacing w:after="20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Krok 1. Kryteria akceptacji ryzyka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Zanim ocenisz ryzyka, ustal progi. W realnym procesie zatwierdza je zarząd — tu przyjmij propozycję i uzasadnij ją.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200"/>
        <w:gridCol w:w="3200"/>
        <w:gridCol w:w="3960"/>
      </w:tblGrid>
      <w:tr>
        <w:trPr>
          <w:cantSplit/>
          <w:tblHeader/>
        </w:trPr>
        <w:tc>
          <w:tcPr>
            <w:tcW w:type="dxa" w:w="22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Poziom R = P × S</w:t>
            </w:r>
          </w:p>
        </w:tc>
        <w:tc>
          <w:tcPr>
            <w:tcW w:type="dxa" w:w="32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Kwalifikacja</w:t>
            </w:r>
          </w:p>
        </w:tc>
        <w:tc>
          <w:tcPr>
            <w:tcW w:type="dxa" w:w="39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Wymagane działanie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 – 6</w:t>
            </w:r>
          </w:p>
        </w:tc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Akceptowalne</w:t>
            </w:r>
          </w:p>
        </w:tc>
        <w:tc>
          <w:tcPr>
            <w:tcW w:type="dxa" w:w="39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Monitorowanie; przegląd przy najbliższej rocznej aktualizacji rejestru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8 – 12</w:t>
            </w:r>
          </w:p>
        </w:tc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Wymaga planu</w:t>
            </w:r>
          </w:p>
        </w:tc>
        <w:tc>
          <w:tcPr>
            <w:tcW w:type="dxa" w:w="39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Plan postępowania z właścicielem i terminem w ciągu 6 miesięcy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15 – 25</w:t>
            </w:r>
          </w:p>
        </w:tc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Nieakceptowalne</w:t>
            </w:r>
          </w:p>
        </w:tc>
        <w:tc>
          <w:tcPr>
            <w:tcW w:type="dxa" w:w="39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Działanie natychmiastowe; decyzja i akceptacja zarządu; raportowanie postępu</w:t>
            </w:r>
          </w:p>
        </w:tc>
      </w:tr>
    </w:tbl>
    <w:p>
      <w:pPr>
        <w:spacing w:after="160"/>
      </w:pPr>
    </w:p>
    <w:p>
      <w:pPr>
        <w:spacing w:after="200" w:before="0"/>
      </w:pPr>
      <w:r>
        <w:rPr>
          <w:rFonts w:ascii="Calibri" w:cs="Calibri" w:eastAsia="Calibri" w:hAnsi="Calibri"/>
          <w:i/>
          <w:iCs/>
          <w:color w:val="5A6B7C"/>
          <w:sz w:val="21"/>
          <w:szCs w:val="21"/>
        </w:rPr>
        <w:t xml:space="preserve">Skala: P (prawdopodobieństwo) 1–5, S (skutek) 1–5.</w:t>
      </w: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Krok 2. Rejestr ryzyk NOVENERGII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Dwa pierwsze wiersze są wypełnione jako wzór. Uzupełnij pozostałe — minimum pięć kolejnych ryzyk wynikających ze scenariusza.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600"/>
        <w:gridCol w:w="1600"/>
        <w:gridCol w:w="1750"/>
        <w:gridCol w:w="470"/>
        <w:gridCol w:w="470"/>
        <w:gridCol w:w="520"/>
        <w:gridCol w:w="1800"/>
        <w:gridCol w:w="1150"/>
      </w:tblGrid>
      <w:tr>
        <w:trPr>
          <w:cantSplit/>
          <w:tblHeader/>
        </w:trPr>
        <w:tc>
          <w:tcPr>
            <w:tcW w:type="dxa" w:w="1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Aktywo</w:t>
            </w:r>
          </w:p>
        </w:tc>
        <w:tc>
          <w:tcPr>
            <w:tcW w:type="dxa" w:w="1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Zagrożenie</w:t>
            </w:r>
          </w:p>
        </w:tc>
        <w:tc>
          <w:tcPr>
            <w:tcW w:type="dxa" w:w="175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Podatność</w:t>
            </w:r>
          </w:p>
        </w:tc>
        <w:tc>
          <w:tcPr>
            <w:tcW w:type="dxa" w:w="47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</w:t>
            </w:r>
          </w:p>
        </w:tc>
        <w:tc>
          <w:tcPr>
            <w:tcW w:type="dxa" w:w="47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</w:t>
            </w:r>
          </w:p>
        </w:tc>
        <w:tc>
          <w:tcPr>
            <w:tcW w:type="dxa" w:w="52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</w:t>
            </w:r>
          </w:p>
        </w:tc>
        <w:tc>
          <w:tcPr>
            <w:tcW w:type="dxa" w:w="18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Postępowanie</w:t>
            </w:r>
          </w:p>
        </w:tc>
        <w:tc>
          <w:tcPr>
            <w:tcW w:type="dxa" w:w="115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Właściciel</w:t>
            </w:r>
          </w:p>
        </w:tc>
      </w:tr>
      <w:tr>
        <w:trPr>
          <w:cantSplit/>
        </w:trPr>
        <w:tc>
          <w:tcPr>
            <w:tcW w:type="dxa" w:w="1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Urządzenie brzegowe na GPO (6 szt.)</w:t>
            </w:r>
          </w:p>
        </w:tc>
        <w:tc>
          <w:tcPr>
            <w:tcW w:type="dxa" w:w="1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Nieuprawniony dostęp zdalny</w:t>
            </w:r>
          </w:p>
        </w:tc>
        <w:tc>
          <w:tcPr>
            <w:tcW w:type="dxa" w:w="17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Interfejs VPN dostępny z Internetu, konta lokalne bez MFA, te same poświadczenia na 6 obiektach</w:t>
            </w:r>
          </w:p>
        </w:tc>
        <w:tc>
          <w:tcPr>
            <w:tcW w:type="dxa" w:w="47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5</w:t>
            </w:r>
          </w:p>
        </w:tc>
        <w:tc>
          <w:tcPr>
            <w:tcW w:type="dxa" w:w="47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5</w:t>
            </w:r>
          </w:p>
        </w:tc>
        <w:tc>
          <w:tcPr>
            <w:tcW w:type="dxa" w:w="5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25</w:t>
            </w:r>
          </w:p>
        </w:tc>
        <w:tc>
          <w:tcPr>
            <w:tcW w:type="dxa" w:w="1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Modyfikacja: MFA, konta imienne, dostęp na żądanie</w:t>
            </w:r>
          </w:p>
        </w:tc>
        <w:tc>
          <w:tcPr>
            <w:tcW w:type="dxa" w:w="11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Kier. IT</w:t>
            </w:r>
          </w:p>
        </w:tc>
      </w:tr>
      <w:tr>
        <w:trPr>
          <w:cantSplit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Sterowniki RTU (6 szt.)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Wgranie uszkodzonego firmware</w:t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Konto producenta z domyślnym hasłem; weryfikacja podpisu firmware niewłączona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4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5</w:t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20</w:t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Modyfikacja: zmiana haseł, włączenie weryfikacji podpisu</w:t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Kier. utrzymania</w:t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Komputery HMI (6 szt.)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Uruchomienie oprogramowania niszczącego dane</w:t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Identyczne hasło lokalnego administratora na wszystkich obiektach; brak EDR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4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4</w:t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16</w:t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Modyfikacja: unikalne hasła, wdrożenie EDR, ograniczenie pulpitu zdalnego</w:t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Kier. IT</w:t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Konta serwisowe integratora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Przejęcie konta o wysokich uprawnieniach</w:t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Konta wspólne, bezterminowe, bez MFA, umowa bez klauzul bezpieczeństwa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4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5</w:t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20</w:t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Modyfikacja: konta imienne, dostęp na żądanie z limitem czasu, nagrywanie sesji, aneks do umowy</w:t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Kier. utrzymania</w:t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Kopie zapasowe na serwerze NAS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Zniszczenie kopii razem z systemami</w:t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Kopia w tej samej domenie, brak kopii offline i niemodyfikowalnej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4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5</w:t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20</w:t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Modyfikacja: kopia offline lub niemodyfikowalna, test odtworzenia co kwartał</w:t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Kier. IT</w:t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Zdolność wykrycia incydentu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Długotrwała obecność napastnika bez wykrycia</w:t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Monitoring 8×5, logi tylko lokalnie na urządzeniach, brak centralizacji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5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4</w:t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20</w:t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Modyfikacja: centralne zbieranie logów z retencją 12 miesięcy, monitoring 24/7 własny lub zlecony, SLA reakcji</w:t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Zarząd / Kier. IT</w:t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Serwer SCADA i domena AD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Ruch poprzeczny z sieci biurowej do OT</w:t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Serwer SCADA w tej samej domenie co sieć biurowa, brak segmentacji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4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5</w:t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20</w:t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Modyfikacja: segmentacja IT–OT ze strefą pośrednią, odrębna domena lub konta dla OT</w:t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Kier. IT</w:t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Status regulacyjny podmiotu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Kara administracyjna i osobista odpowiedzialność kierownika</w:t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Brak wpisu do wykazu, brak analizy ryzyka, brak SZBI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5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4</w:t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20</w:t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Modyfikacja: ustalenie statusu, wpis do wykazu, uruchomienie SZBI</w:t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Zarząd</w:t>
            </w:r>
          </w:p>
        </w:tc>
      </w:tr>
    </w:tbl>
    <w:p>
      <w:pPr>
        <w:spacing w:after="18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Krok 3. Pytania kontrolne</w:t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a) Które z zapisanych ryzyk nie jest ryzykiem technicznym? Wskaż je i uzasadnij.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hAnsi="Calibri"/>
          <w:b w:val="0"/>
          <w:color w:val="333333"/>
          <w:sz w:val="21"/>
        </w:rPr>
        <w:t>Status regulacyjny podmiotu — brak wpisu do wykazu i brak SZBI. To ryzyko prawne i finansowe, nie techniczne. Łatwo je pominąć, bo rejestr ryzyk kojarzy się z infrastrukturą, a art. 8 wymaga zarządzania ryzykiem w ogóle, nie tylko ryzykiem technicznym.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b) Które ryzyka wymagają decyzji zarządu, a które może zamknąć sam zespół IT?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hAnsi="Calibri"/>
          <w:b w:val="0"/>
          <w:color w:val="333333"/>
          <w:sz w:val="21"/>
        </w:rPr>
        <w:t>Decyzji zarządu wymagają: uruchomienie monitoringu 24/7 (wydatek operacyjny), segmentacja IT–OT (projekt inwestycyjny), aneks do umowy z integratorem (relacja handlowa) oraz akceptacja ryzyk pozostających. Zespół IT może samodzielnie zamknąć: zmianę haseł domyślnych, włączenie weryfikacji podpisu firmware, unikalne hasła na HMI i uruchomienie kopii offline.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c) Które ryzyko zmaterializowało się jako pierwsze w osi czasu z Części III scenariusza?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hAnsi="Calibri"/>
          <w:b w:val="0"/>
          <w:color w:val="333333"/>
          <w:sz w:val="21"/>
        </w:rPr>
        <w:t>Jako pierwsze zmaterializowało się ryzyko dotyczące kont serwisowych integratora — logowanie 8 grudnia o 21:14. Ryzyko dotyczące zdolności wykrycia materializowało się przez cały czas: od 20 listopada (skanowanie) do 29 grudnia.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Krok 4. Twoja organizacja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Wybierz jeden proces krytyczny dla swojej usługi i wskaż pięć aktywów, które go wspierają.</w:t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Proces krytyczny: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40"/>
      </w:pP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600"/>
        <w:gridCol w:w="1600"/>
        <w:gridCol w:w="1750"/>
        <w:gridCol w:w="470"/>
        <w:gridCol w:w="470"/>
        <w:gridCol w:w="520"/>
        <w:gridCol w:w="1800"/>
        <w:gridCol w:w="1150"/>
      </w:tblGrid>
      <w:tr>
        <w:trPr>
          <w:cantSplit/>
          <w:tblHeader/>
        </w:trPr>
        <w:tc>
          <w:tcPr>
            <w:tcW w:type="dxa" w:w="1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Aktywo</w:t>
            </w:r>
          </w:p>
        </w:tc>
        <w:tc>
          <w:tcPr>
            <w:tcW w:type="dxa" w:w="1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Zagrożenie</w:t>
            </w:r>
          </w:p>
        </w:tc>
        <w:tc>
          <w:tcPr>
            <w:tcW w:type="dxa" w:w="175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Podatność</w:t>
            </w:r>
          </w:p>
        </w:tc>
        <w:tc>
          <w:tcPr>
            <w:tcW w:type="dxa" w:w="47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</w:t>
            </w:r>
          </w:p>
        </w:tc>
        <w:tc>
          <w:tcPr>
            <w:tcW w:type="dxa" w:w="47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</w:t>
            </w:r>
          </w:p>
        </w:tc>
        <w:tc>
          <w:tcPr>
            <w:tcW w:type="dxa" w:w="52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</w:t>
            </w:r>
          </w:p>
        </w:tc>
        <w:tc>
          <w:tcPr>
            <w:tcW w:type="dxa" w:w="18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Postępowanie</w:t>
            </w:r>
          </w:p>
        </w:tc>
        <w:tc>
          <w:tcPr>
            <w:tcW w:type="dxa" w:w="115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Właściciel</w:t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180"/>
      </w:pPr>
    </w:p>
    <w:tbl>
      <w:tblPr>
        <w:tblW w:type="dxa" w:w="9360"/>
        <w:tblBorders>
          <w:top w:val="single" w:color="C97A1F" w:sz="8"/>
          <w:left w:val="single" w:color="C97A1F" w:sz="8"/>
          <w:bottom w:val="single" w:color="C97A1F" w:sz="8"/>
          <w:right w:val="single" w:color="C97A1F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7D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Zasada: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Zacznij od opisu, nie od liczby. Najpierw zapisz, co konkretnie może się stać i przez co, a dopiero potem oceń P i S. Analizy, w których zaczyna się od cyfr, kończą się tabelami pełnymi czwórek i piątek bez treści — a takiego wyniku nie da się uzasadnić przed audytorem.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B7C"/>
        <w:sz w:val="16"/>
        <w:szCs w:val="16"/>
      </w:rPr>
      <w:t xml:space="preserve">Strona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C"/>
        <w:sz w:val="16"/>
        <w:szCs w:val="16"/>
      </w:rPr>
      <w:t xml:space="preserve"> z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D2DE" w:sz="4" w:space="3"/>
      </w:pBdr>
      <w:spacing w:after="0"/>
      <w:jc w:val="right"/>
    </w:pPr>
    <w:r>
      <w:rPr>
        <w:rFonts w:ascii="Calibri" w:cs="Calibri" w:eastAsia="Calibri" w:hAnsi="Calibri"/>
        <w:b w:val="false"/>
        <w:bCs w:val="false"/>
        <w:color w:val="5A6B7C"/>
        <w:sz w:val="16"/>
        <w:szCs w:val="16"/>
      </w:rPr>
      <w:t xml:space="preserve">Szkolenie NIS2 / UoKSC w praktyce  ·  LT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1F6FB2"/>
      </w:rPr>
    </w:lvl>
    <w:lvl w:ilvl="1" w15:tentative="1">
      <w:start w:val="1"/>
      <w:numFmt w:val="bullet"/>
      <w:lvlText w:val="–"/>
      <w:lvlJc w:val="left"/>
      <w:pPr>
        <w:ind w:left="70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Ćwiczenie 3 — Rejestr ryzyk</dc:title>
  <dc:creator>LT MASTERY Szkolenia dla Biznesu Piotr Szymczyk</dc:creator>
  <cp:lastModifiedBy>Un-named</cp:lastModifiedBy>
  <cp:revision>1</cp:revision>
  <dcterms:created xsi:type="dcterms:W3CDTF">2026-08-28T11:55:43.695Z</dcterms:created>
  <dcterms:modified xsi:type="dcterms:W3CDTF">2026-08-28T11:55:43.695Z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