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6FB2"/>
          <w:spacing w:val="40"/>
          <w:sz w:val="18"/>
          <w:szCs w:val="18"/>
        </w:rPr>
        <w:t xml:space="preserve">MATERIAŁ DLA UCZESTNIKA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E2761"/>
          <w:sz w:val="32"/>
          <w:szCs w:val="32"/>
        </w:rPr>
        <w:t xml:space="preserve">Ćwiczenie 4 — Analiza luk</w:t>
      </w:r>
    </w:p>
    <w:p>
      <w:pPr>
        <w:pBdr>
          <w:bottom w:val="single" w:color="1F6FB2" w:sz="12" w:space="6"/>
        </w:pBdr>
        <w:spacing w:after="220"/>
      </w:pPr>
      <w:r>
        <w:rPr>
          <w:rFonts w:ascii="Calibri" w:cs="Calibri" w:eastAsia="Calibri" w:hAnsi="Calibri"/>
          <w:i/>
          <w:iCs/>
          <w:color w:val="5A6B7C"/>
          <w:sz w:val="20"/>
          <w:szCs w:val="20"/>
        </w:rPr>
        <w:t xml:space="preserve">Ocena zgodności wobec wymagań UoKSC · Moduł 3 · Formularz do wypełnienia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300"/>
        <w:gridCol w:w="2380"/>
        <w:gridCol w:w="2300"/>
        <w:gridCol w:w="2380"/>
      </w:tblGrid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Organizacja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Data szkolenia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Moduł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Cel ćwiczenia: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Ocenić stan zgodności NOVENERGII na 1 grudnia 2025 r. — czyli 28 dni przed atakiem — wobec wymagań UoKSC, wybrać pięć luk do zamknięcia w pierwszej kolejności i oszacować nakład. Te pięć pozycji przeniesiesz do planu na 90 dni w Ćwiczeniu 6. Czas: 15 minut pracy + 5 minut omówienia. Dane wejściowe: Scenariusz, Część II, rozdział 6 (stan zgodności na 1.12.2025).</w:t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C0392B" w:sz="8"/>
          <w:left w:val="single" w:color="C0392B" w:sz="8"/>
          <w:bottom w:val="single" w:color="C0392B" w:sz="8"/>
          <w:right w:val="single" w:color="C0392B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FF7D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Zasada oceny: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Status ustalasz na podstawie dowodu, nie deklaracji. Jeżeli przy wymaganiu nie potrafisz wskazać nazwy dokumentu, numeru rejestru, zrzutu konfiguracji albo daty zapisu — status brzmi „niespełnione”, niezależnie od tego, jak dobrze proces działa nieformalnie.</w:t>
            </w:r>
          </w:p>
        </w:tc>
      </w:tr>
    </w:tbl>
    <w:p>
      <w:pPr>
        <w:spacing w:after="22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A. Checklista dla NOVENERGII — stan na 1.12.2025</w:t>
      </w:r>
    </w:p>
    <w:p>
      <w:pPr>
        <w:keepNext/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Dla każdego wymagania wpisz status (spełnione / częściowo / niespełnione / nie dotyczy), dowód, którego zażądałby audytor, oraz priorytet zamknięcia luki (KRYTYCZNY / WYSOKI / ŚREDNI).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560"/>
        <w:gridCol w:w="2400"/>
        <w:gridCol w:w="1300"/>
        <w:gridCol w:w="1320"/>
        <w:gridCol w:w="2680"/>
        <w:gridCol w:w="1100"/>
      </w:tblGrid>
      <w:tr>
        <w:trPr>
          <w:cantSplit/>
          <w:tblHeader/>
        </w:trPr>
        <w:tc>
          <w:tcPr>
            <w:tcW w:type="dxa" w:w="5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ID</w:t>
            </w:r>
          </w:p>
        </w:tc>
        <w:tc>
          <w:tcPr>
            <w:tcW w:type="dxa" w:w="24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Wymaganie kontrolne</w:t>
            </w:r>
          </w:p>
        </w:tc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Podstawa prawna</w:t>
            </w:r>
          </w:p>
        </w:tc>
        <w:tc>
          <w:tcPr>
            <w:tcW w:type="dxa" w:w="132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268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Dowód</w:t>
            </w:r>
          </w:p>
        </w:tc>
        <w:tc>
          <w:tcPr>
            <w:tcW w:type="dxa" w:w="11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Priorytet</w:t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A.1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Podmiot ustalił swój status i udokumentował wynik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5, art. 7 UoKSC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A.2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Złożono wniosek o wpis do wykazu w systemie S46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7 ust. 2 UoKSC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A.3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Wyznaczono i zgłoszono dwie osoby do kontaktu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8e UoKSC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B.1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Wyznaczono osobę odpowiedzialną za cyberbezpieczeństwo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14 UoKSC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B.2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Kierownictwo przeszło szkolenie i zatwierdza polityki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73a UoKSC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C.1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Wdrożono udokumentowany proces szacowania ryzyka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ust. 1 pkt 1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C.2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Polityka bezpieczeństwa informacji jest aktualna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8; art. 10 ust. 1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C.3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Dokumentacja jest identyfikowalna, aktualna i dostępna dla organu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10 ust. 1 UoKSC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D.1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MFA dla dostępu zdalnego i kont uprzywilejowanych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6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D.2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Konta dostawców mają ograniczony czas i zakres dostępu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obszary 5 i 6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D.3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Zmieniono domyślne poświadczenia w urządzeniach OT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obszary 2 i 6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E.1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System objęty monitorowaniem w trybie ciągłym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8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E.2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Procedura obsługi incydentu opisana i przećwiczona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3; art. 11–12a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E.3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Prowadzony jest rejestr incydentów z retencją logów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8; art. 12a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F.1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Przeprowadzono test odtworzenia z kopii zapasowej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9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F.2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Plan ciągłości działania ma zatwierdzone RTO i RPO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9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G.1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Sieć OT oddzielona od sieci biurowej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obszary 2 i 8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G.2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Prowadzony jest rejestr dostawców z oceną krytyczności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5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H.1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Zaplanowano audyt bezpieczeństwa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15 UoKSC</w:t>
            </w:r>
          </w:p>
        </w:tc>
        <w:tc>
          <w:tcPr>
            <w:tcW w:type="dxa" w:w="13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H.2</w:t>
            </w:r>
          </w:p>
        </w:tc>
        <w:tc>
          <w:tcPr>
            <w:tcW w:type="dxa" w:w="2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Prowadzone są szkolenia świadomościowe z dowodem realizacji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art. 8 — obszar 7</w:t>
            </w:r>
          </w:p>
        </w:tc>
        <w:tc>
          <w:tcPr>
            <w:tcW w:type="dxa" w:w="13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6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spacing w:after="22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B. Pięć luk do zamknięcia w pierwszej kolejności</w:t>
      </w:r>
    </w:p>
    <w:p>
      <w:pPr>
        <w:keepNext/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Wybierz pięć pozycji z Części A. Uzasadnij wybór jednym zdaniem — uzasadnienie ma odnosić się do skutku pozostawienia luki, nie do łatwości wykonania. Oszacuj nakład w roboczodniach oraz koszt zewnętrzny, jeżeli występuje.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600"/>
        <w:gridCol w:w="2500"/>
        <w:gridCol w:w="3700"/>
        <w:gridCol w:w="1280"/>
        <w:gridCol w:w="1280"/>
      </w:tblGrid>
      <w:tr>
        <w:trPr>
          <w:cantSplit/>
          <w:tblHeader/>
        </w:trPr>
        <w:tc>
          <w:tcPr>
            <w:tcW w:type="dxa" w:w="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Lp.</w:t>
            </w:r>
          </w:p>
        </w:tc>
        <w:tc>
          <w:tcPr>
            <w:tcW w:type="dxa" w:w="25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ID i nazwa luki</w:t>
            </w:r>
          </w:p>
        </w:tc>
        <w:tc>
          <w:tcPr>
            <w:tcW w:type="dxa" w:w="37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Dlaczego właśnie ta — skutek jej pozostawienia</w:t>
            </w:r>
          </w:p>
        </w:tc>
        <w:tc>
          <w:tcPr>
            <w:tcW w:type="dxa" w:w="128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Nakład (rd)</w:t>
            </w:r>
          </w:p>
        </w:tc>
        <w:tc>
          <w:tcPr>
            <w:tcW w:type="dxa" w:w="128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Koszt zewn.</w:t>
            </w:r>
          </w:p>
        </w:tc>
      </w:tr>
      <w:tr>
        <w:trPr>
          <w:cantSplit/>
          <w:trHeight w:val="760" w:hRule="atLeast"/>
        </w:trPr>
        <w:tc>
          <w:tcPr>
            <w:tcW w:type="dxa" w:w="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1</w:t>
            </w:r>
          </w:p>
        </w:tc>
        <w:tc>
          <w:tcPr>
            <w:tcW w:type="dxa" w:w="2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7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2</w:t>
            </w:r>
          </w:p>
        </w:tc>
        <w:tc>
          <w:tcPr>
            <w:tcW w:type="dxa" w:w="2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3</w:t>
            </w:r>
          </w:p>
        </w:tc>
        <w:tc>
          <w:tcPr>
            <w:tcW w:type="dxa" w:w="2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7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4</w:t>
            </w:r>
          </w:p>
        </w:tc>
        <w:tc>
          <w:tcPr>
            <w:tcW w:type="dxa" w:w="2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5</w:t>
            </w:r>
          </w:p>
        </w:tc>
        <w:tc>
          <w:tcPr>
            <w:tcW w:type="dxa" w:w="2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7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Pytanie kontrolne</w:t>
      </w:r>
    </w:p>
    <w:p>
      <w:pPr>
        <w:keepNext/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Która z luk, gdyby została zamknięta przed 8 grudnia 2025 r., z największym prawdopodobieństwem zatrzymałaby atak na najwcześniejszym etapie? Odpowiedz i uzasadnij, odwołując się do osi czasu ze Scenariusza (Część III).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C. Twoja organizacja</w:t>
      </w:r>
    </w:p>
    <w:p>
      <w:pPr>
        <w:keepNext/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Powtórz ocenę dla własnej organizacji. Wypełniaj tylko te wiersze, przy których masz wiedzę — pozostałe oznacz jako „do ustalenia” i wpisz, kogo musisz o to zapytać.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620"/>
        <w:gridCol w:w="3000"/>
        <w:gridCol w:w="1400"/>
        <w:gridCol w:w="2340"/>
        <w:gridCol w:w="2000"/>
      </w:tblGrid>
      <w:tr>
        <w:trPr>
          <w:cantSplit/>
          <w:tblHeader/>
        </w:trPr>
        <w:tc>
          <w:tcPr>
            <w:tcW w:type="dxa" w:w="62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ID</w:t>
            </w:r>
          </w:p>
        </w:tc>
        <w:tc>
          <w:tcPr>
            <w:tcW w:type="dxa" w:w="30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Wymaganie kontrolne</w:t>
            </w:r>
          </w:p>
        </w:tc>
        <w:tc>
          <w:tcPr>
            <w:tcW w:type="dxa" w:w="14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234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Dowód / gdzie leży</w:t>
            </w:r>
          </w:p>
        </w:tc>
        <w:tc>
          <w:tcPr>
            <w:tcW w:type="dxa" w:w="20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Kto to wie</w:t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A.1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Podmiot ustalił swój status i udokumentował wynik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A.2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Złożono wniosek o wpis do wykazu w systemie S46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A.3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Wyznaczono i zgłoszono dwie osoby do kontaktu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B.1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Wyznaczono osobę odpowiedzialną za cyberbezpieczeństwo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B.2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Kierownictwo przeszło szkolenie i zatwierdza polityki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C.1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Wdrożono udokumentowany proces szacowania ryzyka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C.2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Polityka bezpieczeństwa informacji jest aktualna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C.3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Dokumentacja jest identyfikowalna, aktualna i dostępna dla organu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D.1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MFA dla dostępu zdalnego i kont uprzywilejowanych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D.2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Konta dostawców mają ograniczony czas i zakres dostępu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D.3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Zmieniono domyślne poświadczenia w urządzeniach OT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E.1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System objęty monitorowaniem w trybie ciągłym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E.2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Procedura obsługi incydentu opisana i przećwiczona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E.3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Prowadzony jest rejestr incydentów z retencją logów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F.1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Przeprowadzono test odtworzenia z kopii zapasowej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F.2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Plan ciągłości działania ma zatwierdzone RTO i RPO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G.1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Sieć OT oddzielona od sieci biurowej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G.2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Prowadzony jest rejestr dostawców z oceną krytyczności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H.1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Zaplanowano audyt bezpieczeństwa</w:t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6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H.2</w:t>
            </w:r>
          </w:p>
        </w:tc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Prowadzone są szkolenia świadomościowe z dowodem realizacji</w:t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4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06A77D" w:sz="8"/>
          <w:left w:val="single" w:color="06A77D" w:sz="8"/>
          <w:bottom w:val="single" w:color="06A77D" w:sz="8"/>
          <w:right w:val="single" w:color="06A77D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2F5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Do wykonania po szkoleniu: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Uzupełnij kolumnę „Dowód / gdzie leży” realnymi nazwami plików i numerami rejestrów. Wymaganie z pustą komórką dowodu jest luką — nawet jeżeli status brzmi „spełnione”. Wynik z datą przedstaw kierownictwu: to jest pierwszy dokument, o który poprosi audytor.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B7C"/>
        <w:sz w:val="16"/>
        <w:szCs w:val="16"/>
      </w:rPr>
      <w:t xml:space="preserve">Strona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C"/>
        <w:sz w:val="16"/>
        <w:szCs w:val="16"/>
      </w:rPr>
      <w:t xml:space="preserve"> z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D2DE" w:sz="4" w:space="3"/>
      </w:pBdr>
      <w:spacing w:after="0"/>
      <w:jc w:val="right"/>
    </w:pPr>
    <w:r>
      <w:rPr>
        <w:rFonts w:ascii="Calibri" w:cs="Calibri" w:eastAsia="Calibri" w:hAnsi="Calibri"/>
        <w:b w:val="false"/>
        <w:bCs w:val="false"/>
        <w:color w:val="5A6B7C"/>
        <w:sz w:val="16"/>
        <w:szCs w:val="16"/>
      </w:rPr>
      <w:t xml:space="preserve">Szkolenie NIS2 / UoKSC w praktyce  ·  LT MASTERY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40" w:hanging="200"/>
      </w:pPr>
      <w:rPr>
        <w:color w:val="1F6FB2"/>
      </w:rPr>
    </w:lvl>
    <w:lvl w:ilvl="1" w15:tentative="1">
      <w:start w:val="1"/>
      <w:numFmt w:val="bullet"/>
      <w:lvlText w:val="–"/>
      <w:lvlJc w:val="left"/>
      <w:pPr>
        <w:ind w:left="70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Ćwiczenie 4 — Analiza luk</dc:title>
  <dc:creator>LT MASTERY Szkolenia dla Biznesu Piotr Szymczyk</dc:creator>
  <cp:lastModifiedBy>Un-named</cp:lastModifiedBy>
  <cp:revision>1</cp:revision>
  <dcterms:created xsi:type="dcterms:W3CDTF">2026-09-03T06:04:01.942Z</dcterms:created>
  <dcterms:modified xsi:type="dcterms:W3CDTF">2026-09-03T06:04:01.943Z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