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F6FB2"/>
          <w:spacing w:val="40"/>
          <w:sz w:val="18"/>
          <w:szCs w:val="18"/>
        </w:rPr>
        <w:t>WZÓR WYPEŁNIONY DLA UCZESTNIKA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1E2761"/>
          <w:sz w:val="32"/>
          <w:szCs w:val="32"/>
        </w:rPr>
        <w:t xml:space="preserve">Ćwiczenie 5 — Pierwsze 24 godziny</w:t>
      </w:r>
    </w:p>
    <w:p>
      <w:pPr>
        <w:pBdr>
          <w:bottom w:val="single" w:color="1F6FB2" w:sz="12" w:space="6"/>
        </w:pBdr>
        <w:spacing w:after="220"/>
      </w:pPr>
      <w:r>
        <w:rPr>
          <w:rFonts w:ascii="Calibri" w:cs="Calibri" w:eastAsia="Calibri" w:hAnsi="Calibri"/>
          <w:i/>
          <w:iCs/>
          <w:color w:val="5A6B7C"/>
          <w:sz w:val="20"/>
          <w:szCs w:val="20"/>
        </w:rPr>
        <w:t>Przykładowo wypełniona symulacja — do analizy po szkoleniu</w:t>
      </w:r>
    </w:p>
    <w:tbl>
      <w:tblPr>
        <w:tblW w:type="dxa" w:w="9360"/>
        <w:tblBorders>
          <w:top w:val="single" w:color="C6D2DE" w:sz="4"/>
          <w:left w:val="single" w:color="C6D2DE" w:sz="4"/>
          <w:bottom w:val="single" w:color="C6D2DE" w:sz="4"/>
          <w:right w:val="single" w:color="C6D2DE" w:sz="4"/>
          <w:insideH w:val="single" w:color="C6D2DE" w:sz="4"/>
          <w:insideV w:val="single" w:color="C6D2DE" w:sz="4"/>
        </w:tblBorders>
      </w:tblPr>
      <w:tblGrid>
        <w:gridCol w:w="2300"/>
        <w:gridCol w:w="2380"/>
        <w:gridCol w:w="2300"/>
        <w:gridCol w:w="2380"/>
      </w:tblGrid>
      <w:tr>
        <w:trPr>
          <w:cantSplit/>
          <w:trHeight w:val="560" w:hRule="atLeast"/>
        </w:trPr>
        <w:tc>
          <w:tcPr>
            <w:tcW w:type="dxa" w:w="2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20"/>
                <w:szCs w:val="20"/>
              </w:rPr>
              <w:t xml:space="preserve">Imię i nazwisko</w:t>
            </w:r>
          </w:p>
        </w:tc>
        <w:tc>
          <w:tcPr>
            <w:tcW w:type="dxa" w:w="238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2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Organizacja</w:t>
            </w:r>
          </w:p>
        </w:tc>
        <w:tc>
          <w:tcPr>
            <w:tcW w:type="dxa" w:w="238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23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20"/>
                <w:szCs w:val="20"/>
              </w:rPr>
              <w:t xml:space="preserve">Data szkolenia</w:t>
            </w:r>
          </w:p>
        </w:tc>
        <w:tc>
          <w:tcPr>
            <w:tcW w:type="dxa" w:w="238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23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Moduł</w:t>
            </w:r>
          </w:p>
        </w:tc>
        <w:tc>
          <w:tcPr>
            <w:tcW w:type="dxa" w:w="238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</w:tr>
    </w:tbl>
    <w:p>
      <w:pPr>
        <w:spacing w:after="200"/>
      </w:pPr>
    </w:p>
    <w:tbl>
      <w:tblPr>
        <w:tblW w:type="dxa" w:w="9360"/>
        <w:tblBorders>
          <w:top w:val="single" w:color="1F6FB2" w:sz="8"/>
          <w:left w:val="single" w:color="1F6FB2" w:sz="8"/>
          <w:bottom w:val="single" w:color="1F6FB2" w:sz="8"/>
          <w:right w:val="single" w:color="1F6FB2" w:sz="8"/>
          <w:insideH w:val="none"/>
          <w:insideV w:val="none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shd w:fill="E8EEF4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E2761"/>
                <w:sz w:val="21"/>
                <w:szCs w:val="21"/>
              </w:rPr>
              <w:t xml:space="preserve">Cel ćwiczenia:  </w:t>
            </w:r>
            <w:r>
              <w:rPr>
                <w:rFonts w:ascii="Calibri" w:cs="Calibri" w:eastAsia="Calibri" w:hAnsi="Calibri"/>
                <w:color w:val="333333"/>
                <w:sz w:val="21"/>
                <w:szCs w:val="21"/>
              </w:rPr>
              <w:t xml:space="preserve">Odtworzyć pierwsze 24 godziny od uzyskania wiedzy o incydencie w NOVENERGII tak, jak powinny wyglądać — z klasyfikacją, decyzją o zgłoszeniu i wypełnionym formularzem wczesnego ostrzeżenia w terminie 24 godzin. Czas: 15 minut pracy + 5 minut omówienia. Dane wejściowe: Scenariusz, Część III (oś czasu incydentu).</w:t>
            </w:r>
          </w:p>
          <w:p>
            <w:r>
              <w:rPr>
                <w:rFonts w:ascii="Calibri" w:hAnsi="Calibri"/>
                <w:b/>
                <w:color w:val="1E2761"/>
                <w:sz w:val="21"/>
              </w:rPr>
              <w:t>Jak korzystać z tego wzoru:</w:t>
            </w:r>
            <w:r>
              <w:rPr>
                <w:rFonts w:ascii="Calibri" w:hAnsi="Calibri"/>
                <w:b w:val="0"/>
                <w:color w:val="333333"/>
                <w:sz w:val="21"/>
              </w:rPr>
              <w:t xml:space="preserve"> To jest przykładowo wypełniona symulacja oparta na materiałach szkolenia. Jeżeli podczas zajęć nie zdążyłeś/aś dokończyć ćwiczenia, przeanalizuj rozstrzygnięcia w Częściach A–E, a Część F (Twoja organizacja) uzupełnij samodzielnie.</w:t>
            </w:r>
          </w:p>
        </w:tc>
      </w:tr>
    </w:tbl>
    <w:p>
      <w:pPr>
        <w:spacing w:after="200"/>
      </w:pPr>
    </w:p>
    <w:tbl>
      <w:tblPr>
        <w:tblW w:type="dxa" w:w="9360"/>
        <w:tblBorders>
          <w:top w:val="single" w:color="C0392B" w:sz="8"/>
          <w:left w:val="single" w:color="C0392B" w:sz="8"/>
          <w:bottom w:val="single" w:color="C0392B" w:sz="8"/>
          <w:right w:val="single" w:color="C0392B" w:sz="8"/>
          <w:insideH w:val="none"/>
          <w:insideV w:val="none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shd w:fill="FFF7D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E2761"/>
                <w:sz w:val="21"/>
                <w:szCs w:val="21"/>
              </w:rPr>
              <w:t xml:space="preserve">Jak było naprawdę:  </w:t>
            </w:r>
            <w:r>
              <w:rPr>
                <w:rFonts w:ascii="Calibri" w:cs="Calibri" w:eastAsia="Calibri" w:hAnsi="Calibri"/>
                <w:color w:val="333333"/>
                <w:sz w:val="21"/>
                <w:szCs w:val="21"/>
              </w:rPr>
              <w:t xml:space="preserve">Wiedza o zdarzeniu: 29.12.2025, 08:05 (telefon dyspozytora OSD). Zgłoszenie do CSIRT NASK: 30.12.2025, 18:00 — około 34 godziny później. Termin ustawowy został przekroczony o 10 godzin, a logi z urządzeń brzegowych w tym czasie zdążyły zniknąć.</w:t>
            </w:r>
          </w:p>
        </w:tc>
      </w:tr>
    </w:tbl>
    <w:p>
      <w:pPr>
        <w:spacing w:after="220"/>
      </w:pPr>
    </w:p>
    <w:p>
      <w:pPr>
        <w:pStyle w:val="Heading1"/>
        <w:keepNext/>
        <w:pBdr>
          <w:bottom w:val="single" w:color="1F6FB2" w:sz="8" w:space="4"/>
        </w:pBdr>
        <w:spacing w:after="150" w:before="340"/>
      </w:pPr>
      <w:r>
        <w:rPr>
          <w:rFonts w:ascii="Calibri" w:cs="Calibri" w:eastAsia="Calibri" w:hAnsi="Calibri"/>
          <w:b/>
          <w:bCs/>
          <w:color w:val="1E2761"/>
          <w:sz w:val="26"/>
          <w:szCs w:val="26"/>
        </w:rPr>
        <w:t xml:space="preserve">Część A. Moment startu zegara</w:t>
      </w:r>
    </w:p>
    <w:p>
      <w:pPr>
        <w:spacing w:after="140" w:before="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Termin 24 godzin biegnie od uzyskania wiedzy o incydencie poważnym. Wskaż moment z osi czasu i uzasadnij wybór — to jest najtrudniejsza decyzja w całym ćwiczeniu.</w:t>
      </w:r>
    </w:p>
    <w:tbl>
      <w:tblPr>
        <w:tblW w:type="dxa" w:w="9360"/>
        <w:tblBorders>
          <w:top w:val="single" w:color="C6D2DE" w:sz="4"/>
          <w:left w:val="single" w:color="C6D2DE" w:sz="4"/>
          <w:bottom w:val="single" w:color="C6D2DE" w:sz="4"/>
          <w:right w:val="single" w:color="C6D2DE" w:sz="4"/>
          <w:insideH w:val="single" w:color="C6D2DE" w:sz="4"/>
          <w:insideV w:val="single" w:color="C6D2DE" w:sz="4"/>
        </w:tblBorders>
      </w:tblPr>
      <w:tblGrid>
        <w:gridCol w:w="2600"/>
        <w:gridCol w:w="2200"/>
        <w:gridCol w:w="4560"/>
      </w:tblGrid>
      <w:tr>
        <w:trPr>
          <w:cantSplit/>
          <w:tblHeader/>
        </w:trPr>
        <w:tc>
          <w:tcPr>
            <w:tcW w:type="dxa" w:w="260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Kandydat na moment startu</w:t>
            </w:r>
          </w:p>
        </w:tc>
        <w:tc>
          <w:tcPr>
            <w:tcW w:type="dxa" w:w="220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Data i godzina</w:t>
            </w:r>
          </w:p>
        </w:tc>
        <w:tc>
          <w:tcPr>
            <w:tcW w:type="dxa" w:w="456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Za czym przemawia / co przeczy</w:t>
            </w:r>
          </w:p>
        </w:tc>
      </w:tr>
      <w:tr>
        <w:trPr>
          <w:cantSplit/>
          <w:trHeight w:val="620" w:hRule="atLeast"/>
        </w:trPr>
        <w:tc>
          <w:tcPr>
            <w:tcW w:type="dxa" w:w="2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Pierwszy sygnał od dyspozytora OSD</w:t>
            </w:r>
          </w:p>
        </w:tc>
        <w:tc>
          <w:tcPr>
            <w:tcW w:type="dxa" w:w="22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29.12, 08:05</w:t>
            </w:r>
          </w:p>
        </w:tc>
        <w:tc>
          <w:tcPr>
            <w:tcW w:type="dxa" w:w="456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Za wcześnie jako moment pewny — zgłoszenie brzmiało jak awaria łącza. Ale to jest moment, od którego zaczyna biec obowiązek ustalenia, co się dzieje. Nie wolno go „przeczekać”.</w:t>
            </w:r>
          </w:p>
        </w:tc>
      </w:tr>
      <w:tr>
        <w:trPr>
          <w:cantSplit/>
          <w:trHeight w:val="620" w:hRule="atLeast"/>
        </w:trPr>
        <w:tc>
          <w:tcPr>
            <w:tcW w:type="dxa" w:w="26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Potwierdzenie braku zdalnego sterowania</w:t>
            </w:r>
          </w:p>
        </w:tc>
        <w:tc>
          <w:tcPr>
            <w:tcW w:type="dxa" w:w="22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29.12, 08:20</w:t>
            </w:r>
          </w:p>
        </w:tc>
        <w:tc>
          <w:tcPr>
            <w:tcW w:type="dxa" w:w="456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ODPOWIEDŹ WZORCOWA. W tym momencie podmiot wie, że utracił zdalne sterowanie na sześciu obiektach jednocześnie i nie ma dostępu do urządzeń brzegowych. Jednoczesność wyklucza awarię — to jest „uzyskanie wiedzy o incydencie” w rozumieniu ustawy.</w:t>
            </w:r>
          </w:p>
        </w:tc>
      </w:tr>
      <w:tr>
        <w:trPr>
          <w:cantSplit/>
          <w:trHeight w:val="620" w:hRule="atLeast"/>
        </w:trPr>
        <w:tc>
          <w:tcPr>
            <w:tcW w:type="dxa" w:w="2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Rozpoznanie charakteru zdarzenia przez serwisanta</w:t>
            </w:r>
          </w:p>
        </w:tc>
        <w:tc>
          <w:tcPr>
            <w:tcW w:type="dxa" w:w="22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29.12, 14:10</w:t>
            </w:r>
          </w:p>
        </w:tc>
        <w:tc>
          <w:tcPr>
            <w:tcW w:type="dxa" w:w="456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To moment potwierdzenia przyczyny, nie uzyskania wiedzy o incydencie. Przyjęcie go za start zegara to typowa próba przesunięcia terminu — i typowe ustalenie audytowe.</w:t>
            </w:r>
          </w:p>
        </w:tc>
      </w:tr>
      <w:tr>
        <w:trPr>
          <w:cantSplit/>
          <w:trHeight w:val="620" w:hRule="atLeast"/>
        </w:trPr>
        <w:tc>
          <w:tcPr>
            <w:tcW w:type="dxa" w:w="26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Eskalacja do zarządu</w:t>
            </w:r>
          </w:p>
        </w:tc>
        <w:tc>
          <w:tcPr>
            <w:tcW w:type="dxa" w:w="22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29.12, 16:45</w:t>
            </w:r>
          </w:p>
        </w:tc>
        <w:tc>
          <w:tcPr>
            <w:tcW w:type="dxa" w:w="456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Zdecydowanie nie. Zegar nie czeka na to, aż informacja dotrze do właściwej osoby wewnątrz organizacji. Liczy się wiedza organizacji, nie wiedza zarządu.</w:t>
            </w:r>
          </w:p>
        </w:tc>
      </w:tr>
    </w:tbl>
    <w:p>
      <w:pPr>
        <w:spacing w:after="180"/>
      </w:pPr>
    </w:p>
    <w:tbl>
      <w:tblPr>
        <w:tblW w:type="dxa" w:w="9360"/>
        <w:tblBorders>
          <w:top w:val="single" w:color="C6D2DE" w:sz="4"/>
          <w:left w:val="single" w:color="C6D2DE" w:sz="4"/>
          <w:bottom w:val="single" w:color="C6D2DE" w:sz="4"/>
          <w:right w:val="single" w:color="C6D2DE" w:sz="4"/>
          <w:insideH w:val="single" w:color="C6D2DE" w:sz="4"/>
          <w:insideV w:val="single" w:color="C6D2DE" w:sz="4"/>
        </w:tblBorders>
      </w:tblPr>
      <w:tblGrid>
        <w:gridCol w:w="3100"/>
        <w:gridCol w:w="6260"/>
      </w:tblGrid>
      <w:tr>
        <w:trPr>
          <w:cantSplit/>
          <w:trHeight w:val="560" w:hRule="atLeast"/>
        </w:trPr>
        <w:tc>
          <w:tcPr>
            <w:tcW w:type="dxa" w:w="3100"/>
            <w:shd w:fill="E8EEF4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20"/>
                <w:szCs w:val="20"/>
              </w:rPr>
              <w:t xml:space="preserve">Wybrany moment startu zegara</w:t>
            </w:r>
          </w:p>
        </w:tc>
        <w:tc>
          <w:tcPr>
            <w:tcW w:type="dxa" w:w="6260"/>
            <w:shd w:fill="E8EEF4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29.12.2025, 08:20 — potwierdzenie braku zdalnego sterowania na wszystkich sześciu obiektach</w:t>
            </w:r>
          </w:p>
        </w:tc>
      </w:tr>
      <w:tr>
        <w:trPr>
          <w:cantSplit/>
          <w:trHeight w:val="560" w:hRule="atLeast"/>
        </w:trPr>
        <w:tc>
          <w:tcPr>
            <w:tcW w:type="dxa" w:w="31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20"/>
                <w:szCs w:val="20"/>
              </w:rPr>
              <w:t xml:space="preserve">Termin wczesnego ostrzeżenia (24 h)</w:t>
            </w:r>
          </w:p>
        </w:tc>
        <w:tc>
          <w:tcPr>
            <w:tcW w:type="dxa" w:w="626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30.12.2025, 08:20</w:t>
            </w:r>
          </w:p>
        </w:tc>
      </w:tr>
      <w:tr>
        <w:trPr>
          <w:cantSplit/>
          <w:trHeight w:val="560" w:hRule="atLeast"/>
        </w:trPr>
        <w:tc>
          <w:tcPr>
            <w:tcW w:type="dxa" w:w="31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20"/>
                <w:szCs w:val="20"/>
              </w:rPr>
              <w:t xml:space="preserve">Termin zgłoszenia incydentu (72 h)</w:t>
            </w:r>
          </w:p>
        </w:tc>
        <w:tc>
          <w:tcPr>
            <w:tcW w:type="dxa" w:w="626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1.01.2026, 08:20</w:t>
            </w:r>
          </w:p>
        </w:tc>
      </w:tr>
      <w:tr>
        <w:trPr>
          <w:cantSplit/>
          <w:trHeight w:val="560" w:hRule="atLeast"/>
        </w:trPr>
        <w:tc>
          <w:tcPr>
            <w:tcW w:type="dxa" w:w="31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20"/>
                <w:szCs w:val="20"/>
              </w:rPr>
              <w:t xml:space="preserve">Termin sprawozdania końcowego (1 miesiąc)</w:t>
            </w:r>
          </w:p>
        </w:tc>
        <w:tc>
          <w:tcPr>
            <w:tcW w:type="dxa" w:w="626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29.01.2026</w:t>
            </w:r>
          </w:p>
        </w:tc>
      </w:tr>
    </w:tbl>
    <w:p>
      <w:pPr>
        <w:pStyle w:val="Heading1"/>
        <w:keepNext/>
        <w:pBdr>
          <w:bottom w:val="single" w:color="1F6FB2" w:sz="8" w:space="4"/>
        </w:pBdr>
        <w:spacing w:after="150" w:before="340"/>
      </w:pPr>
      <w:r>
        <w:rPr>
          <w:rFonts w:ascii="Calibri" w:cs="Calibri" w:eastAsia="Calibri" w:hAnsi="Calibri"/>
          <w:b/>
          <w:bCs/>
          <w:color w:val="1E2761"/>
          <w:sz w:val="26"/>
          <w:szCs w:val="26"/>
        </w:rPr>
        <w:t xml:space="preserve">Część B. Klasyfikacja — czy to incydent poważny</w:t>
      </w:r>
    </w:p>
    <w:p>
      <w:pPr>
        <w:spacing w:after="140" w:before="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Wskaż konkretne kryterium z rozporządzenia wykonawczego Komisji (UE) 2024/2690 oraz z UoKSC, które przesądza o kwalifikacji. Nie wystarczy „bo skutki były duże”.</w:t>
      </w:r>
    </w:p>
    <w:tbl>
      <w:tblPr>
        <w:tblW w:type="dxa" w:w="9360"/>
        <w:tblBorders>
          <w:top w:val="single" w:color="C6D2DE" w:sz="4"/>
          <w:left w:val="single" w:color="C6D2DE" w:sz="4"/>
          <w:bottom w:val="single" w:color="C6D2DE" w:sz="4"/>
          <w:right w:val="single" w:color="C6D2DE" w:sz="4"/>
          <w:insideH w:val="single" w:color="C6D2DE" w:sz="4"/>
          <w:insideV w:val="single" w:color="C6D2DE" w:sz="4"/>
        </w:tblBorders>
      </w:tblPr>
      <w:tblGrid>
        <w:gridCol w:w="4200"/>
        <w:gridCol w:w="1600"/>
        <w:gridCol w:w="3560"/>
      </w:tblGrid>
      <w:tr>
        <w:trPr>
          <w:cantSplit/>
          <w:tblHeader/>
        </w:trPr>
        <w:tc>
          <w:tcPr>
            <w:tcW w:type="dxa" w:w="420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Kryterium</w:t>
            </w:r>
          </w:p>
        </w:tc>
        <w:tc>
          <w:tcPr>
            <w:tcW w:type="dxa" w:w="160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Spełnione?</w:t>
            </w:r>
          </w:p>
        </w:tc>
        <w:tc>
          <w:tcPr>
            <w:tcW w:type="dxa" w:w="356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Fakt ze scenariusza, który to potwierdza</w:t>
            </w:r>
          </w:p>
        </w:tc>
      </w:tr>
      <w:tr>
        <w:trPr>
          <w:cantSplit/>
          <w:trHeight w:val="620" w:hRule="atLeast"/>
        </w:trPr>
        <w:tc>
          <w:tcPr>
            <w:tcW w:type="dxa" w:w="42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Poważne zakłócenie świadczenia usługi lub straty finansowe</w:t>
            </w:r>
          </w:p>
        </w:tc>
        <w:tc>
          <w:tcPr>
            <w:tcW w:type="dxa" w:w="1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TAK</w:t>
            </w:r>
          </w:p>
        </w:tc>
        <w:tc>
          <w:tcPr>
            <w:tcW w:type="dxa" w:w="356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Utrata zdalnego sterowania na sześciu obiektach, zniszczone sterowniki RTU, serwery portów i komputery HMI. Odtworzenie wymaga wymiany firmware i rekonfiguracji sprzętu.</w:t>
            </w:r>
          </w:p>
        </w:tc>
      </w:tr>
      <w:tr>
        <w:trPr>
          <w:cantSplit/>
          <w:trHeight w:val="620" w:hRule="atLeast"/>
        </w:trPr>
        <w:tc>
          <w:tcPr>
            <w:tcW w:type="dxa" w:w="42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Wpływ na inne podmioty lub na osoby fizyczne</w:t>
            </w:r>
          </w:p>
        </w:tc>
        <w:tc>
          <w:tcPr>
            <w:tcW w:type="dxa" w:w="16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TAK</w:t>
            </w:r>
          </w:p>
        </w:tc>
        <w:tc>
          <w:tcPr>
            <w:tcW w:type="dxa" w:w="356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Zerwana komunikacja z operatorem sieci dystrybucyjnej — skutek wykracza poza podmiot.</w:t>
            </w:r>
          </w:p>
        </w:tc>
      </w:tr>
      <w:tr>
        <w:trPr>
          <w:cantSplit/>
          <w:trHeight w:val="620" w:hRule="atLeast"/>
        </w:trPr>
        <w:tc>
          <w:tcPr>
            <w:tcW w:type="dxa" w:w="42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Podejrzenie działania umyślnego lub bezprawnego</w:t>
            </w:r>
          </w:p>
        </w:tc>
        <w:tc>
          <w:tcPr>
            <w:tcW w:type="dxa" w:w="1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TAK</w:t>
            </w:r>
          </w:p>
        </w:tc>
        <w:tc>
          <w:tcPr>
            <w:tcW w:type="dxa" w:w="356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Wgrany firmware w wersji nigdy nieinstalowanej w spółce, zmienione hasła, urządzenia brzegowe zresetowane do ustawień fabrycznych. To nie są objawy awarii.</w:t>
            </w:r>
          </w:p>
        </w:tc>
      </w:tr>
      <w:tr>
        <w:trPr>
          <w:cantSplit/>
          <w:trHeight w:val="620" w:hRule="atLeast"/>
        </w:trPr>
        <w:tc>
          <w:tcPr>
            <w:tcW w:type="dxa" w:w="42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Wpływ na bezpieczeństwo lub ciągłość dostaw</w:t>
            </w:r>
          </w:p>
        </w:tc>
        <w:tc>
          <w:tcPr>
            <w:tcW w:type="dxa" w:w="16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TAK</w:t>
            </w:r>
          </w:p>
        </w:tc>
        <w:tc>
          <w:tcPr>
            <w:tcW w:type="dxa" w:w="356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Sektor energetyczny, okres mrozów, utrata zdalnego sterowania. Nawet bez przerwy w produkcji poziom uzyskanych dostępów stwarzał ryzyko przestoju.</w:t>
            </w:r>
          </w:p>
        </w:tc>
      </w:tr>
      <w:tr>
        <w:trPr>
          <w:cantSplit/>
          <w:trHeight w:val="620" w:hRule="atLeast"/>
        </w:trPr>
        <w:tc>
          <w:tcPr>
            <w:tcW w:type="dxa" w:w="42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Skutek powtarzalny lub możliwy do rozprzestrzenienia</w:t>
            </w:r>
          </w:p>
        </w:tc>
        <w:tc>
          <w:tcPr>
            <w:tcW w:type="dxa" w:w="1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TAK</w:t>
            </w:r>
          </w:p>
        </w:tc>
        <w:tc>
          <w:tcPr>
            <w:tcW w:type="dxa" w:w="356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Ten sam mechanizm poświadczeń działa u innych podmiotów obsługiwanych przez tego integratora — stąd wartość zgłoszenia dla CSIRT.</w:t>
            </w:r>
          </w:p>
        </w:tc>
      </w:tr>
    </w:tbl>
    <w:p>
      <w:pPr>
        <w:spacing w:after="180"/>
      </w:pPr>
    </w:p>
    <w:tbl>
      <w:tblPr>
        <w:tblW w:type="dxa" w:w="9360"/>
        <w:tblBorders>
          <w:top w:val="single" w:color="1F6FB2" w:sz="8"/>
          <w:left w:val="single" w:color="1F6FB2" w:sz="8"/>
          <w:bottom w:val="single" w:color="1F6FB2" w:sz="8"/>
          <w:right w:val="single" w:color="1F6FB2" w:sz="8"/>
          <w:insideH w:val="none"/>
          <w:insideV w:val="none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shd w:fill="E8EEF4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E2761"/>
                <w:sz w:val="21"/>
                <w:szCs w:val="21"/>
              </w:rPr>
              <w:t xml:space="preserve">Rozstrzygnięcie:  </w:t>
            </w:r>
            <w:r>
              <w:rPr>
                <w:rFonts w:ascii="Calibri" w:cs="Calibri" w:eastAsia="Calibri" w:hAnsi="Calibri"/>
                <w:color w:val="333333"/>
                <w:sz w:val="21"/>
                <w:szCs w:val="21"/>
              </w:rPr>
              <w:t xml:space="preserve">Wpisz jedno zdanie: „To jest / nie jest incydent poważny, ponieważ …” — z odwołaniem do konkretnego kryterium.</w:t>
            </w:r>
          </w:p>
        </w:tc>
      </w:tr>
    </w:tbl>
    <w:p>
      <w:pPr>
        <w:spacing w:after="160"/>
      </w:pPr>
      <w:r>
        <w:rPr>
          <w:rFonts w:ascii="Calibri" w:hAnsi="Calibri"/>
          <w:b w:val="0"/>
          <w:color w:val="333333"/>
          <w:sz w:val="21"/>
        </w:rPr>
        <w:t>To jest incydent poważny, ponieważ spełnione jest — wystarczyłoby jedno — wszystkich pięć kryteriów powyżej. Podstawa: art. 11 UoKSC w związku z kryteriami z rozporządzenia wykonawczego Komisji (UE) 2024/2690 (kryteria horyzontalne z art. 3 oraz kryteria sektorowe dla podmiotów energetycznych).</w:t>
      </w:r>
    </w:p>
    <w:p>
      <w:pPr>
        <w:keepNext/>
        <w:pBdr>
          <w:bottom w:val="single" w:color="C6D2DE" w:sz="4" w:space="2"/>
        </w:pBdr>
        <w:spacing w:after="200"/>
      </w:pPr>
      <w:r>
        <w:rPr>
          <w:rFonts w:ascii="Calibri" w:cs="Calibri" w:eastAsia="Calibri" w:hAnsi="Calibri"/>
          <w:sz w:val="21"/>
          <w:szCs w:val="21"/>
        </w:rPr>
        <w:t xml:space="preserve"/>
      </w:r>
    </w:p>
    <w:p>
      <w:pPr>
        <w:keepNext/>
        <w:pBdr>
          <w:bottom w:val="single" w:color="C6D2DE" w:sz="4" w:space="2"/>
        </w:pBdr>
        <w:spacing w:after="200"/>
      </w:pPr>
      <w:r>
        <w:rPr>
          <w:rFonts w:ascii="Calibri" w:cs="Calibri" w:eastAsia="Calibri" w:hAnsi="Calibri"/>
          <w:sz w:val="21"/>
          <w:szCs w:val="21"/>
        </w:rPr>
        <w:t xml:space="preserve"/>
      </w:r>
    </w:p>
    <w:p>
      <w:pPr>
        <w:keepNext w:val="false"/>
        <w:pBdr>
          <w:bottom w:val="single" w:color="C6D2DE" w:sz="4" w:space="2"/>
        </w:pBdr>
        <w:spacing w:after="200"/>
      </w:pPr>
      <w:r>
        <w:rPr>
          <w:rFonts w:ascii="Calibri" w:cs="Calibri" w:eastAsia="Calibri" w:hAnsi="Calibri"/>
          <w:sz w:val="21"/>
          <w:szCs w:val="21"/>
        </w:rPr>
        <w:t xml:space="preserve"/>
      </w:r>
    </w:p>
    <w:p>
      <w:pPr>
        <w:pStyle w:val="Heading1"/>
        <w:keepNext/>
        <w:pBdr>
          <w:bottom w:val="single" w:color="1F6FB2" w:sz="8" w:space="4"/>
        </w:pBdr>
        <w:spacing w:after="150" w:before="340"/>
      </w:pPr>
      <w:r>
        <w:rPr>
          <w:rFonts w:ascii="Calibri" w:cs="Calibri" w:eastAsia="Calibri" w:hAnsi="Calibri"/>
          <w:b/>
          <w:bCs/>
          <w:color w:val="1E2761"/>
          <w:sz w:val="26"/>
          <w:szCs w:val="26"/>
        </w:rPr>
        <w:t xml:space="preserve">Część C. Harmonogram pierwszych 24 godzin — jak powinno być</w:t>
      </w:r>
    </w:p>
    <w:p>
      <w:pPr>
        <w:spacing w:after="140" w:before="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Rozpisz działania w blokach czasowych. W każdym wierszu wskaż jedną osobę odpowiedzialną i produkt, który po tym działaniu zostaje na papierze lub w systemie.</w:t>
      </w:r>
    </w:p>
    <w:tbl>
      <w:tblPr>
        <w:tblW w:type="dxa" w:w="9360"/>
        <w:tblBorders>
          <w:top w:val="single" w:color="C6D2DE" w:sz="4"/>
          <w:left w:val="single" w:color="C6D2DE" w:sz="4"/>
          <w:bottom w:val="single" w:color="C6D2DE" w:sz="4"/>
          <w:right w:val="single" w:color="C6D2DE" w:sz="4"/>
          <w:insideH w:val="single" w:color="C6D2DE" w:sz="4"/>
          <w:insideV w:val="single" w:color="C6D2DE" w:sz="4"/>
        </w:tblBorders>
      </w:tblPr>
      <w:tblGrid>
        <w:gridCol w:w="1500"/>
        <w:gridCol w:w="3400"/>
        <w:gridCol w:w="2200"/>
        <w:gridCol w:w="2260"/>
      </w:tblGrid>
      <w:tr>
        <w:trPr>
          <w:cantSplit/>
          <w:tblHeader/>
        </w:trPr>
        <w:tc>
          <w:tcPr>
            <w:tcW w:type="dxa" w:w="150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Blok czasowy</w:t>
            </w:r>
          </w:p>
        </w:tc>
        <w:tc>
          <w:tcPr>
            <w:tcW w:type="dxa" w:w="340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Działanie</w:t>
            </w:r>
          </w:p>
        </w:tc>
        <w:tc>
          <w:tcPr>
            <w:tcW w:type="dxa" w:w="220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Kto odpowiada</w:t>
            </w:r>
          </w:p>
        </w:tc>
        <w:tc>
          <w:tcPr>
            <w:tcW w:type="dxa" w:w="226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Produkt / dowód</w:t>
            </w:r>
          </w:p>
        </w:tc>
      </w:tr>
      <w:tr>
        <w:trPr>
          <w:cantSplit/>
          <w:trHeight w:val="900" w:hRule="atLeast"/>
        </w:trPr>
        <w:tc>
          <w:tcPr>
            <w:tcW w:type="dxa" w:w="15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08:05 – 08:35</w:t>
            </w:r>
          </w:p>
        </w:tc>
        <w:tc>
          <w:tcPr>
            <w:tcW w:type="dxa" w:w="3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Potwierdzenie, że utrata telemetrii nie jest awarią łącza. Eskalacja do osoby odpowiedzialnej za cyberbezpieczeństwo i do zarządu. Formalne otwarcie incydentu w rejestrze.</w:t>
            </w:r>
          </w:p>
        </w:tc>
        <w:tc>
          <w:tcPr>
            <w:tcW w:type="dxa" w:w="22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Dyżurny + kierownik utrzymania</w:t>
            </w:r>
          </w:p>
        </w:tc>
        <w:tc>
          <w:tcPr>
            <w:tcW w:type="dxa" w:w="226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Wpis do rejestru incydentów z godziną; decyzja o uruchomieniu procedury</w:t>
            </w:r>
          </w:p>
        </w:tc>
      </w:tr>
      <w:tr>
        <w:trPr>
          <w:cantSplit/>
          <w:trHeight w:val="900" w:hRule="atLeast"/>
        </w:trPr>
        <w:tc>
          <w:tcPr>
            <w:tcW w:type="dxa" w:w="15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08:35 – 11:00</w:t>
            </w:r>
          </w:p>
        </w:tc>
        <w:tc>
          <w:tcPr>
            <w:tcW w:type="dxa" w:w="34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Odcięcie zdalnego dostępu serwisowego na wszystkich obiektach — bez wyłączania urządzeń. Zabezpieczenie logów z urządzeń brzegowych, HMI i sterowników, zanim zostaną nadpisane. Sprawdzenie pozostałych obiektów.</w:t>
            </w:r>
          </w:p>
        </w:tc>
        <w:tc>
          <w:tcPr>
            <w:tcW w:type="dxa" w:w="22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Osoba odpow. za cyberbezp. + IT</w:t>
            </w:r>
          </w:p>
        </w:tc>
        <w:tc>
          <w:tcPr>
            <w:tcW w:type="dxa" w:w="226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Kopie logów z sumami kontrolnymi; notatka z czynności; lista obiektów sprawdzonych</w:t>
            </w:r>
          </w:p>
        </w:tc>
      </w:tr>
      <w:tr>
        <w:trPr>
          <w:cantSplit/>
          <w:trHeight w:val="900" w:hRule="atLeast"/>
        </w:trPr>
        <w:tc>
          <w:tcPr>
            <w:tcW w:type="dxa" w:w="15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11:00 – 16:00</w:t>
            </w:r>
          </w:p>
        </w:tc>
        <w:tc>
          <w:tcPr>
            <w:tcW w:type="dxa" w:w="3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Wypełnienie i wysłanie formularza wczesnego ostrzeżenia w S46 do CSIRT NASK. Równolegle powiadomienie Prezesa URE i operatora sieci dystrybucyjnej. Uruchomienie planu ciągłości: przejście na sterowanie lokalne.</w:t>
            </w:r>
          </w:p>
        </w:tc>
        <w:tc>
          <w:tcPr>
            <w:tcW w:type="dxa" w:w="22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Osoba odpowiedzialna + zarząd</w:t>
            </w:r>
          </w:p>
        </w:tc>
        <w:tc>
          <w:tcPr>
            <w:tcW w:type="dxa" w:w="226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Potwierdzenie wysyłki z S46; pisma do URE i OSD; protokół uruchomienia BCP</w:t>
            </w:r>
          </w:p>
        </w:tc>
      </w:tr>
      <w:tr>
        <w:trPr>
          <w:cantSplit/>
          <w:trHeight w:val="900" w:hRule="atLeast"/>
        </w:trPr>
        <w:tc>
          <w:tcPr>
            <w:tcW w:type="dxa" w:w="15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16:00 – 24:00</w:t>
            </w:r>
          </w:p>
        </w:tc>
        <w:tc>
          <w:tcPr>
            <w:tcW w:type="dxa" w:w="34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Analiza śladów i ustalenie zasięgu. Ocena, czy doszło do naruszenia ochrony danych osobowych. Pisemne poinformowanie zarządu. Zabezpieczenie obrazów dysków HMI.</w:t>
            </w:r>
          </w:p>
        </w:tc>
        <w:tc>
          <w:tcPr>
            <w:tcW w:type="dxa" w:w="22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IT + inspektor ochrony danych</w:t>
            </w:r>
          </w:p>
        </w:tc>
        <w:tc>
          <w:tcPr>
            <w:tcW w:type="dxa" w:w="226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Raport wstępny z zasięgu; notatka z oceny RODO; obrazy dysków</w:t>
            </w:r>
          </w:p>
        </w:tc>
      </w:tr>
      <w:tr>
        <w:trPr>
          <w:cantSplit/>
          <w:trHeight w:val="900" w:hRule="atLeast"/>
        </w:trPr>
        <w:tc>
          <w:tcPr>
            <w:tcW w:type="dxa" w:w="15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Doba +1 do 08:05</w:t>
            </w:r>
          </w:p>
        </w:tc>
        <w:tc>
          <w:tcPr>
            <w:tcW w:type="dxa" w:w="3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Odtwarzanie: czysty firmware od producenta, rekonfiguracja urządzeń, przywrócenie z kopii offline. Bieżąca komunikacja z OSD. Przygotowanie danych do zgłoszenia po 72 h.</w:t>
            </w:r>
          </w:p>
        </w:tc>
        <w:tc>
          <w:tcPr>
            <w:tcW w:type="dxa" w:w="22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IT / OT + zarząd</w:t>
            </w:r>
          </w:p>
        </w:tc>
        <w:tc>
          <w:tcPr>
            <w:tcW w:type="dxa" w:w="226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Log czynności odtworzeniowych; zaktualizowany rejestr incydentu</w:t>
            </w:r>
          </w:p>
        </w:tc>
      </w:tr>
    </w:tbl>
    <w:p>
      <w:pPr>
        <w:spacing w:after="200"/>
      </w:pPr>
    </w:p>
    <w:tbl>
      <w:tblPr>
        <w:tblW w:type="dxa" w:w="9360"/>
        <w:tblBorders>
          <w:top w:val="single" w:color="C0392B" w:sz="8"/>
          <w:left w:val="single" w:color="C0392B" w:sz="8"/>
          <w:bottom w:val="single" w:color="C0392B" w:sz="8"/>
          <w:right w:val="single" w:color="C0392B" w:sz="8"/>
          <w:insideH w:val="none"/>
          <w:insideV w:val="none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shd w:fill="FFF7D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E2761"/>
                <w:sz w:val="21"/>
                <w:szCs w:val="21"/>
              </w:rPr>
              <w:t xml:space="preserve">Uwaga:  </w:t>
            </w:r>
            <w:r>
              <w:rPr>
                <w:rFonts w:ascii="Calibri" w:cs="Calibri" w:eastAsia="Calibri" w:hAnsi="Calibri"/>
                <w:color w:val="333333"/>
                <w:sz w:val="21"/>
                <w:szCs w:val="21"/>
              </w:rPr>
              <w:t xml:space="preserve">Zabezpieczenie dowodów musi znaleźć się w pierwszym albo drugim bloku. W NOVENERGII logi z urządzeń brzegowych zniknęły, zanim ktokolwiek pomyślał o ich pobraniu — i to jest powód, dla którego pełnego przebiegu ataku nigdy nie ustalono.</w:t>
            </w:r>
          </w:p>
        </w:tc>
      </w:tr>
    </w:tbl>
    <w:p>
      <w:pPr>
        <w:pStyle w:val="Heading1"/>
        <w:keepNext/>
        <w:pBdr>
          <w:bottom w:val="single" w:color="1F6FB2" w:sz="8" w:space="4"/>
        </w:pBdr>
        <w:spacing w:after="150" w:before="340"/>
      </w:pPr>
      <w:r>
        <w:rPr>
          <w:rFonts w:ascii="Calibri" w:cs="Calibri" w:eastAsia="Calibri" w:hAnsi="Calibri"/>
          <w:b/>
          <w:bCs/>
          <w:color w:val="1E2761"/>
          <w:sz w:val="26"/>
          <w:szCs w:val="26"/>
        </w:rPr>
        <w:t xml:space="preserve">Część D. Formularz wczesnego ostrzeżenia</w:t>
      </w:r>
    </w:p>
    <w:p>
      <w:pPr>
        <w:spacing w:after="140" w:before="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Wypełnij na podstawie danych ze Scenariusza. Wczesne ostrzeżenie ma być krótkie i wysłane w terminie — nie ma być kompletne. Braki uzupełnia zgłoszenie po 72 godzinach.</w:t>
      </w:r>
    </w:p>
    <w:tbl>
      <w:tblPr>
        <w:tblW w:type="dxa" w:w="9360"/>
        <w:tblBorders>
          <w:top w:val="single" w:color="C6D2DE" w:sz="4"/>
          <w:left w:val="single" w:color="C6D2DE" w:sz="4"/>
          <w:bottom w:val="single" w:color="C6D2DE" w:sz="4"/>
          <w:right w:val="single" w:color="C6D2DE" w:sz="4"/>
          <w:insideH w:val="single" w:color="C6D2DE" w:sz="4"/>
          <w:insideV w:val="single" w:color="C6D2DE" w:sz="4"/>
        </w:tblBorders>
      </w:tblPr>
      <w:tblGrid>
        <w:gridCol w:w="3200"/>
        <w:gridCol w:w="6160"/>
      </w:tblGrid>
      <w:tr>
        <w:trPr>
          <w:cantSplit/>
          <w:tblHeader/>
        </w:trPr>
        <w:tc>
          <w:tcPr>
            <w:tcW w:type="dxa" w:w="320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Pole formularza</w:t>
            </w:r>
          </w:p>
        </w:tc>
        <w:tc>
          <w:tcPr>
            <w:tcW w:type="dxa" w:w="616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Treść</w:t>
            </w:r>
          </w:p>
        </w:tc>
      </w:tr>
      <w:tr>
        <w:trPr>
          <w:cantSplit/>
          <w:trHeight w:val="560" w:hRule="atLeast"/>
        </w:trPr>
        <w:tc>
          <w:tcPr>
            <w:tcW w:type="dxa" w:w="32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Podmiot zgłaszający (nazwa, NIP, numer w wykazie)</w:t>
            </w:r>
          </w:p>
        </w:tc>
        <w:tc>
          <w:tcPr>
            <w:tcW w:type="dxa" w:w="616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7"/>
              </w:rPr>
              <w:t>NOVENERGIA OZE sp. z o.o., Płock, woj. mazowieckie. NIP — do uzupełnienia z KRS (nie występuje w scenariuszu). Numer w wykazie — brak; wniosek o wpis nie został jeszcze złożony (zob. Ćwiczenie 1 i 4, poz. A.1–A.2).</w:t>
            </w:r>
          </w:p>
        </w:tc>
      </w:tr>
      <w:tr>
        <w:trPr>
          <w:cantSplit/>
          <w:trHeight w:val="560" w:hRule="atLeast"/>
        </w:trPr>
        <w:tc>
          <w:tcPr>
            <w:tcW w:type="dxa" w:w="32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Osoba do kontaktu (imię, nazwisko, telefon, e-mail)</w:t>
            </w:r>
          </w:p>
        </w:tc>
        <w:tc>
          <w:tcPr>
            <w:tcW w:type="dxa" w:w="616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7"/>
              </w:rPr>
              <w:t>Formalnie wyznaczonej osoby nie ma (poz. B.1 = częściowo — brak zarządzenia). Funkcję pełni nieformalnie kierownik działu IT; w realnym zgłoszeniu podaje się jego imię, nazwisko oraz telefon i e-mail służbowy.</w:t>
            </w:r>
          </w:p>
        </w:tc>
      </w:tr>
      <w:tr>
        <w:trPr>
          <w:cantSplit/>
          <w:trHeight w:val="560" w:hRule="atLeast"/>
        </w:trPr>
        <w:tc>
          <w:tcPr>
            <w:tcW w:type="dxa" w:w="32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Kategoria podmiotu (kluczowy / ważny)</w:t>
            </w:r>
          </w:p>
        </w:tc>
        <w:tc>
          <w:tcPr>
            <w:tcW w:type="dxa" w:w="616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7"/>
              </w:rPr>
              <w:t>Kluczowy (ustalone w Ćwiczeniu 1: sektor Energetyka z Załącznika nr 1 + duże przedsiębiorstwo liczone łącznie z grupą).</w:t>
            </w:r>
          </w:p>
        </w:tc>
      </w:tr>
      <w:tr>
        <w:trPr>
          <w:cantSplit/>
          <w:trHeight w:val="560" w:hRule="atLeast"/>
        </w:trPr>
        <w:tc>
          <w:tcPr>
            <w:tcW w:type="dxa" w:w="32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Właściwy CSIRT i uzasadnienie właściwości</w:t>
            </w:r>
          </w:p>
        </w:tc>
        <w:tc>
          <w:tcPr>
            <w:tcW w:type="dxa" w:w="616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7"/>
              </w:rPr>
              <w:t>CSIRT NASK. NOVENERGIA jest podmiotem sektora energetyki niebędącym jednostką administracji ani podmiotem podległym MON — właściwość ogólna należy do CSIRT NASK.</w:t>
            </w:r>
          </w:p>
        </w:tc>
      </w:tr>
      <w:tr>
        <w:trPr>
          <w:cantSplit/>
          <w:trHeight w:val="560" w:hRule="atLeast"/>
        </w:trPr>
        <w:tc>
          <w:tcPr>
            <w:tcW w:type="dxa" w:w="32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Data i godzina uzyskania wiedzy o incydencie</w:t>
            </w:r>
          </w:p>
        </w:tc>
        <w:tc>
          <w:tcPr>
            <w:tcW w:type="dxa" w:w="616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7"/>
              </w:rPr>
              <w:t>29.12.2025, 08:20 — moment potwierdzenia braku zdalnego sterowania na wszystkich sześciu obiektach (uzasadnienie w Części A).</w:t>
            </w:r>
          </w:p>
        </w:tc>
      </w:tr>
      <w:tr>
        <w:trPr>
          <w:cantSplit/>
          <w:trHeight w:val="560" w:hRule="atLeast"/>
        </w:trPr>
        <w:tc>
          <w:tcPr>
            <w:tcW w:type="dxa" w:w="32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Data i godzina wystąpienia incydentu (jeżeli znana)</w:t>
            </w:r>
          </w:p>
        </w:tc>
        <w:tc>
          <w:tcPr>
            <w:tcW w:type="dxa" w:w="616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7"/>
              </w:rPr>
              <w:t>29.12.2025, ok. 07:40 — początek działań destrukcyjnych na urządzeniach OT, zgodnie z osią czasu w Części III scenariusza.</w:t>
            </w:r>
          </w:p>
        </w:tc>
      </w:tr>
      <w:tr>
        <w:trPr>
          <w:cantSplit/>
          <w:trHeight w:val="560" w:hRule="atLeast"/>
        </w:trPr>
        <w:tc>
          <w:tcPr>
            <w:tcW w:type="dxa" w:w="32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Czy incydent jest w toku</w:t>
            </w:r>
          </w:p>
        </w:tc>
        <w:tc>
          <w:tcPr>
            <w:tcW w:type="dxa" w:w="616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7"/>
              </w:rPr>
              <w:t>Nie w momencie zgłoszenia — działania destrukcyjne zakończone ok. 07:58 (zatarcie śladów). W toku pozostawała diagnostyka zasięgu i przywracanie sprawności obiektów.</w:t>
            </w:r>
          </w:p>
        </w:tc>
      </w:tr>
      <w:tr>
        <w:trPr>
          <w:cantSplit/>
          <w:trHeight w:val="560" w:hRule="atLeast"/>
        </w:trPr>
        <w:tc>
          <w:tcPr>
            <w:tcW w:type="dxa" w:w="32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Wstępna klasyfikacja incydentu</w:t>
            </w:r>
          </w:p>
        </w:tc>
        <w:tc>
          <w:tcPr>
            <w:tcW w:type="dxa" w:w="616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7"/>
              </w:rPr>
              <w:t>Incydent poważny; podejrzenie celowego działania destrukcyjnego wymierzonego w infrastrukturę sterowania.</w:t>
            </w:r>
          </w:p>
        </w:tc>
      </w:tr>
      <w:tr>
        <w:trPr>
          <w:cantSplit/>
          <w:trHeight w:val="1500" w:hRule="atLeast"/>
        </w:trPr>
        <w:tc>
          <w:tcPr>
            <w:tcW w:type="dxa" w:w="32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Zwięzły opis zdarzenia (3–4 zdania)</w:t>
            </w:r>
          </w:p>
        </w:tc>
        <w:tc>
          <w:tcPr>
            <w:tcW w:type="dxa" w:w="616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7"/>
              </w:rPr>
              <w:t>29.12.2025 ok. 07:40 doszło do jednoczesnego uszkodzenia sterowników RTU, serwerów portów szeregowych i komputerów HMI na sześciu obiektach wytwórczych. Utracono zdalne sterowanie i telemetrię do OSD. Urządzenia brzegowe zostały przywrócone do ustawień fabrycznych. Podejrzewamy celowe działanie z wykorzystaniem przejętego konta serwisowego.</w:t>
            </w:r>
          </w:p>
        </w:tc>
      </w:tr>
      <w:tr>
        <w:trPr>
          <w:cantSplit/>
          <w:trHeight w:val="560" w:hRule="atLeast"/>
        </w:trPr>
        <w:tc>
          <w:tcPr>
            <w:tcW w:type="dxa" w:w="32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Systemy i usługi, których dotyczy</w:t>
            </w:r>
          </w:p>
        </w:tc>
        <w:tc>
          <w:tcPr>
            <w:tcW w:type="dxa" w:w="616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7"/>
              </w:rPr>
              <w:t>Sterowniki RTU, sterowniki zabezpieczeń i serwery portów szeregowych na 6 GPO; komputery HMI; urządzenia brzegowe Fortigate (6 szt.); serwer SCADA; usługa zdalnego monitorowania świadczona dla dwóch klientów zewnętrznych (PKD 62.09.Z).</w:t>
            </w:r>
          </w:p>
        </w:tc>
      </w:tr>
      <w:tr>
        <w:trPr>
          <w:cantSplit/>
          <w:trHeight w:val="560" w:hRule="atLeast"/>
        </w:trPr>
        <w:tc>
          <w:tcPr>
            <w:tcW w:type="dxa" w:w="32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Podejrzenie działania umyślnego lub bezprawnego</w:t>
            </w:r>
          </w:p>
        </w:tc>
        <w:tc>
          <w:tcPr>
            <w:tcW w:type="dxa" w:w="616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7"/>
              </w:rPr>
              <w:t>TAK. To pole ma znaczenie operacyjne dla CSIRT — uruchamia inną ścieżkę obsługi i wymianę informacji z innymi podmiotami.</w:t>
            </w:r>
          </w:p>
        </w:tc>
      </w:tr>
      <w:tr>
        <w:trPr>
          <w:cantSplit/>
          <w:trHeight w:val="560" w:hRule="atLeast"/>
        </w:trPr>
        <w:tc>
          <w:tcPr>
            <w:tcW w:type="dxa" w:w="32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Możliwy wpływ transgraniczny</w:t>
            </w:r>
          </w:p>
        </w:tc>
        <w:tc>
          <w:tcPr>
            <w:tcW w:type="dxa" w:w="616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7"/>
              </w:rPr>
              <w:t>Nie stwierdzono, ocena w toku. Pole można uzupełnić w zgłoszeniu po 72 godzinach.</w:t>
            </w:r>
          </w:p>
        </w:tc>
      </w:tr>
      <w:tr>
        <w:trPr>
          <w:cantSplit/>
          <w:trHeight w:val="560" w:hRule="atLeast"/>
        </w:trPr>
        <w:tc>
          <w:tcPr>
            <w:tcW w:type="dxa" w:w="32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Działania już podjęte</w:t>
            </w:r>
          </w:p>
        </w:tc>
        <w:tc>
          <w:tcPr>
            <w:tcW w:type="dxa" w:w="616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7"/>
              </w:rPr>
              <w:t>Odcięcie zdalnego dostępu serwisowego na wszystkich obiektach; zabezpieczenie dostępnych logów z urządzeń brzegowych, HMI i sterowników; powiadomienie operatora sieci dystrybucyjnej i Prezesa URE; uruchomienie planu ciągłości działania (przejście na sterowanie lokalne).</w:t>
            </w:r>
          </w:p>
        </w:tc>
      </w:tr>
      <w:tr>
        <w:trPr>
          <w:cantSplit/>
          <w:trHeight w:val="560" w:hRule="atLeast"/>
        </w:trPr>
        <w:tc>
          <w:tcPr>
            <w:tcW w:type="dxa" w:w="32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Potrzeba wsparcia ze strony CSIRT</w:t>
            </w:r>
          </w:p>
        </w:tc>
        <w:tc>
          <w:tcPr>
            <w:tcW w:type="dxa" w:w="616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7"/>
              </w:rPr>
              <w:t>Tak — wsparcie w analizie śladów pozostałych po ataku (logi lokalne zostały utracone) oraz w ustaleniu ewentualnego powiązania z incydentami w innych podmiotach sektora energetycznego tego samego dnia.</w:t>
            </w:r>
          </w:p>
        </w:tc>
      </w:tr>
    </w:tbl>
    <w:p>
      <w:pPr>
        <w:pStyle w:val="Heading1"/>
        <w:keepNext/>
        <w:pBdr>
          <w:bottom w:val="single" w:color="1F6FB2" w:sz="8" w:space="4"/>
        </w:pBdr>
        <w:spacing w:after="150" w:before="340"/>
      </w:pPr>
      <w:r>
        <w:rPr>
          <w:rFonts w:ascii="Calibri" w:cs="Calibri" w:eastAsia="Calibri" w:hAnsi="Calibri"/>
          <w:b/>
          <w:bCs/>
          <w:color w:val="1E2761"/>
          <w:sz w:val="26"/>
          <w:szCs w:val="26"/>
        </w:rPr>
        <w:t xml:space="preserve">Część E. Obowiązki równoległe</w:t>
      </w:r>
    </w:p>
    <w:tbl>
      <w:tblPr>
        <w:tblW w:type="dxa" w:w="9360"/>
        <w:tblBorders>
          <w:top w:val="single" w:color="C6D2DE" w:sz="4"/>
          <w:left w:val="single" w:color="C6D2DE" w:sz="4"/>
          <w:bottom w:val="single" w:color="C6D2DE" w:sz="4"/>
          <w:right w:val="single" w:color="C6D2DE" w:sz="4"/>
          <w:insideH w:val="single" w:color="C6D2DE" w:sz="4"/>
          <w:insideV w:val="single" w:color="C6D2DE" w:sz="4"/>
        </w:tblBorders>
      </w:tblPr>
      <w:tblGrid>
        <w:gridCol w:w="2900"/>
        <w:gridCol w:w="1500"/>
        <w:gridCol w:w="4960"/>
      </w:tblGrid>
      <w:tr>
        <w:trPr>
          <w:cantSplit/>
          <w:tblHeader/>
        </w:trPr>
        <w:tc>
          <w:tcPr>
            <w:tcW w:type="dxa" w:w="290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Adresat</w:t>
            </w:r>
          </w:p>
        </w:tc>
        <w:tc>
          <w:tcPr>
            <w:tcW w:type="dxa" w:w="150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Termin</w:t>
            </w:r>
          </w:p>
        </w:tc>
        <w:tc>
          <w:tcPr>
            <w:tcW w:type="dxa" w:w="496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Czy powstaje obowiązek i dlaczego</w:t>
            </w:r>
          </w:p>
        </w:tc>
      </w:tr>
      <w:tr>
        <w:trPr>
          <w:cantSplit/>
          <w:trHeight w:val="700" w:hRule="atLeast"/>
        </w:trPr>
        <w:tc>
          <w:tcPr>
            <w:tcW w:type="dxa" w:w="29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Prezes UODO (RODO, art. 33)</w:t>
            </w:r>
          </w:p>
        </w:tc>
        <w:tc>
          <w:tcPr>
            <w:tcW w:type="dxa" w:w="15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72 h</w:t>
            </w:r>
          </w:p>
        </w:tc>
        <w:tc>
          <w:tcPr>
            <w:tcW w:type="dxa" w:w="496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Na dzień 29.12 — nie. Atak był destrukcyjny, bez wskazań na dostęp do danych osobowych. ALE: obowiązek oceny istnieje i musi być udokumentowany, a napastnik miał dostęp do sieci biurowej i próbował uruchomić wiper przez GPO na stacjach w centrali. Poprawna odpowiedź: „ocena w toku, decyzja do 1.01.2026, notatka w aktach”.</w:t>
            </w:r>
          </w:p>
        </w:tc>
      </w:tr>
      <w:tr>
        <w:trPr>
          <w:cantSplit/>
          <w:trHeight w:val="620" w:hRule="atLeast"/>
        </w:trPr>
        <w:tc>
          <w:tcPr>
            <w:tcW w:type="dxa" w:w="29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Prezes URE</w:t>
            </w:r>
          </w:p>
        </w:tc>
        <w:tc>
          <w:tcPr>
            <w:tcW w:type="dxa" w:w="15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niezwłocznie</w:t>
            </w:r>
          </w:p>
        </w:tc>
        <w:tc>
          <w:tcPr>
            <w:tcW w:type="dxa" w:w="496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Tak — obowiązek wynika z prawa energetycznego, niezależnie od UoKSC. Częsty punkt zapomniany.</w:t>
            </w:r>
          </w:p>
        </w:tc>
      </w:tr>
      <w:tr>
        <w:trPr>
          <w:cantSplit/>
          <w:trHeight w:val="620" w:hRule="atLeast"/>
        </w:trPr>
        <w:tc>
          <w:tcPr>
            <w:tcW w:type="dxa" w:w="29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Operator sieci dystrybucyjnej</w:t>
            </w:r>
          </w:p>
        </w:tc>
        <w:tc>
          <w:tcPr>
            <w:tcW w:type="dxa" w:w="15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niezwłocznie</w:t>
            </w:r>
          </w:p>
        </w:tc>
        <w:tc>
          <w:tcPr>
            <w:tcW w:type="dxa" w:w="496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Tak, i faktycznie to OSD zgłosił problem pierwszy. Obowiązek umowny; brak komunikacji zwrotnej to realny problem kontraktowy.</w:t>
            </w:r>
          </w:p>
        </w:tc>
      </w:tr>
      <w:tr>
        <w:trPr>
          <w:cantSplit/>
          <w:trHeight w:val="620" w:hRule="atLeast"/>
        </w:trPr>
        <w:tc>
          <w:tcPr>
            <w:tcW w:type="dxa" w:w="29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Odbiorcy usługi</w:t>
            </w:r>
          </w:p>
        </w:tc>
        <w:tc>
          <w:tcPr>
            <w:tcW w:type="dxa" w:w="15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wg oceny</w:t>
            </w:r>
          </w:p>
        </w:tc>
        <w:tc>
          <w:tcPr>
            <w:tcW w:type="dxa" w:w="496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Art. 12 UoKSC: gdy incydent może niekorzystnie wpłynąć na świadczenie usługi. Tutaj usługa była świadczona, ale wobec dwóch podmiotów obsługiwanych w ramach monitoringu zdalnego (PKD 62.09.Z) — tak.</w:t>
            </w:r>
          </w:p>
        </w:tc>
      </w:tr>
      <w:tr>
        <w:trPr>
          <w:cantSplit/>
          <w:trHeight w:val="620" w:hRule="atLeast"/>
        </w:trPr>
        <w:tc>
          <w:tcPr>
            <w:tcW w:type="dxa" w:w="29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Organy ścigania</w:t>
            </w:r>
          </w:p>
        </w:tc>
        <w:tc>
          <w:tcPr>
            <w:tcW w:type="dxa" w:w="15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wg oceny</w:t>
            </w:r>
          </w:p>
        </w:tc>
        <w:tc>
          <w:tcPr>
            <w:tcW w:type="dxa" w:w="496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Zawiadomienie o podejrzeniu popełnienia przestępstwa — zalecane przy działaniu umyślnym. Nie zastępuje zgłoszenia do CSIRT.</w:t>
            </w:r>
          </w:p>
        </w:tc>
      </w:tr>
      <w:tr>
        <w:trPr>
          <w:cantSplit/>
          <w:trHeight w:val="620" w:hRule="atLeast"/>
        </w:trPr>
        <w:tc>
          <w:tcPr>
            <w:tcW w:type="dxa" w:w="29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Ubezpieczyciel</w:t>
            </w:r>
          </w:p>
        </w:tc>
        <w:tc>
          <w:tcPr>
            <w:tcW w:type="dxa" w:w="15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wg umowy</w:t>
            </w:r>
          </w:p>
        </w:tc>
        <w:tc>
          <w:tcPr>
            <w:tcW w:type="dxa" w:w="496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Polisy cyber wymagają zwykle zgłoszenia w 24–72 h pod rygorem utraty ochrony — warto zweryfikować ten termin we własnej polisie.</w:t>
            </w:r>
          </w:p>
        </w:tc>
      </w:tr>
    </w:tbl>
    <w:p>
      <w:pPr>
        <w:spacing w:after="200"/>
      </w:pPr>
    </w:p>
    <w:p>
      <w:pPr>
        <w:pStyle w:val="Heading2"/>
        <w:keepNext/>
        <w:spacing w:after="90" w:before="240"/>
      </w:pPr>
      <w:r>
        <w:rPr>
          <w:rFonts w:ascii="Calibri" w:cs="Calibri" w:eastAsia="Calibri" w:hAnsi="Calibri"/>
          <w:b/>
          <w:bCs/>
          <w:color w:val="1F6FB2"/>
          <w:sz w:val="23"/>
          <w:szCs w:val="23"/>
        </w:rPr>
        <w:t xml:space="preserve">Część F. Twoja organizacja</w:t>
      </w:r>
    </w:p>
    <w:p>
      <w:pPr>
        <w:spacing w:after="130" w:before="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Odpowiedz na trzy pytania o własnej organizacji. Jeżeli nie znasz odpowiedzi — to jest wynik ćwiczenia.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Kto u Was podejmuje decyzję o zgłoszeniu incydentu do CSIRT o trzeciej w nocy, w sobotę, i jak się z nim skontaktować?</w:t>
      </w:r>
    </w:p>
    <w:p>
      <w:pPr>
        <w:keepNext/>
        <w:pBdr>
          <w:bottom w:val="single" w:color="C6D2DE" w:sz="4" w:space="2"/>
        </w:pBdr>
        <w:spacing w:after="200"/>
      </w:pPr>
      <w:r>
        <w:rPr>
          <w:rFonts w:ascii="Calibri" w:cs="Calibri" w:eastAsia="Calibri" w:hAnsi="Calibri"/>
          <w:sz w:val="21"/>
          <w:szCs w:val="21"/>
        </w:rPr>
        <w:t xml:space="preserve"/>
      </w:r>
    </w:p>
    <w:p>
      <w:pPr>
        <w:keepNext/>
        <w:pBdr>
          <w:bottom w:val="single" w:color="C6D2DE" w:sz="4" w:space="2"/>
        </w:pBdr>
        <w:spacing w:after="200"/>
      </w:pPr>
      <w:r>
        <w:rPr>
          <w:rFonts w:ascii="Calibri" w:cs="Calibri" w:eastAsia="Calibri" w:hAnsi="Calibri"/>
          <w:sz w:val="21"/>
          <w:szCs w:val="21"/>
        </w:rPr>
        <w:t xml:space="preserve"/>
      </w:r>
    </w:p>
    <w:p>
      <w:pPr>
        <w:keepNext w:val="false"/>
        <w:pBdr>
          <w:bottom w:val="single" w:color="C6D2DE" w:sz="4" w:space="2"/>
        </w:pBdr>
        <w:spacing w:after="200"/>
      </w:pPr>
      <w:r>
        <w:rPr>
          <w:rFonts w:ascii="Calibri" w:cs="Calibri" w:eastAsia="Calibri" w:hAnsi="Calibri"/>
          <w:sz w:val="21"/>
          <w:szCs w:val="21"/>
        </w:rPr>
        <w:t xml:space="preserve"/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Gdzie leży wypełniony wcześniej formularz z danymi stałymi podmiotu, żeby nie zbierać ich w trakcie incydentu?</w:t>
      </w:r>
    </w:p>
    <w:p>
      <w:pPr>
        <w:keepNext/>
        <w:pBdr>
          <w:bottom w:val="single" w:color="C6D2DE" w:sz="4" w:space="2"/>
        </w:pBdr>
        <w:spacing w:after="200"/>
      </w:pPr>
      <w:r>
        <w:rPr>
          <w:rFonts w:ascii="Calibri" w:cs="Calibri" w:eastAsia="Calibri" w:hAnsi="Calibri"/>
          <w:sz w:val="21"/>
          <w:szCs w:val="21"/>
        </w:rPr>
        <w:t xml:space="preserve"/>
      </w:r>
    </w:p>
    <w:p>
      <w:pPr>
        <w:keepNext/>
        <w:pBdr>
          <w:bottom w:val="single" w:color="C6D2DE" w:sz="4" w:space="2"/>
        </w:pBdr>
        <w:spacing w:after="200"/>
      </w:pPr>
      <w:r>
        <w:rPr>
          <w:rFonts w:ascii="Calibri" w:cs="Calibri" w:eastAsia="Calibri" w:hAnsi="Calibri"/>
          <w:sz w:val="21"/>
          <w:szCs w:val="21"/>
        </w:rPr>
        <w:t xml:space="preserve"/>
      </w:r>
    </w:p>
    <w:p>
      <w:pPr>
        <w:keepNext w:val="false"/>
        <w:pBdr>
          <w:bottom w:val="single" w:color="C6D2DE" w:sz="4" w:space="2"/>
        </w:pBdr>
        <w:spacing w:after="200"/>
      </w:pPr>
      <w:r>
        <w:rPr>
          <w:rFonts w:ascii="Calibri" w:cs="Calibri" w:eastAsia="Calibri" w:hAnsi="Calibri"/>
          <w:sz w:val="21"/>
          <w:szCs w:val="21"/>
        </w:rPr>
        <w:t xml:space="preserve"/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Ile czasu zajęłoby Wam dziś zabezpieczenie logów z urządzeń brzegowych i kto ma do nich dostęp?</w:t>
      </w:r>
    </w:p>
    <w:p>
      <w:pPr>
        <w:keepNext/>
        <w:pBdr>
          <w:bottom w:val="single" w:color="C6D2DE" w:sz="4" w:space="2"/>
        </w:pBdr>
        <w:spacing w:after="200"/>
      </w:pPr>
      <w:r>
        <w:rPr>
          <w:rFonts w:ascii="Calibri" w:cs="Calibri" w:eastAsia="Calibri" w:hAnsi="Calibri"/>
          <w:sz w:val="21"/>
          <w:szCs w:val="21"/>
        </w:rPr>
        <w:t xml:space="preserve"/>
      </w:r>
    </w:p>
    <w:p>
      <w:pPr>
        <w:keepNext/>
        <w:pBdr>
          <w:bottom w:val="single" w:color="C6D2DE" w:sz="4" w:space="2"/>
        </w:pBdr>
        <w:spacing w:after="200"/>
      </w:pPr>
      <w:r>
        <w:rPr>
          <w:rFonts w:ascii="Calibri" w:cs="Calibri" w:eastAsia="Calibri" w:hAnsi="Calibri"/>
          <w:sz w:val="21"/>
          <w:szCs w:val="21"/>
        </w:rPr>
        <w:t xml:space="preserve"/>
      </w:r>
    </w:p>
    <w:p>
      <w:pPr>
        <w:keepNext w:val="false"/>
        <w:pBdr>
          <w:bottom w:val="single" w:color="C6D2DE" w:sz="4" w:space="2"/>
        </w:pBdr>
        <w:spacing w:after="200"/>
      </w:pPr>
      <w:r>
        <w:rPr>
          <w:rFonts w:ascii="Calibri" w:cs="Calibri" w:eastAsia="Calibri" w:hAnsi="Calibri"/>
          <w:sz w:val="21"/>
          <w:szCs w:val="21"/>
        </w:rPr>
        <w:t xml:space="preserve"/>
      </w:r>
    </w:p>
    <w:sectPr>
      <w:headerReference w:type="default" r:id="rId7"/>
      <w:footerReference w:type="default" r:id="rId8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5A6B7C"/>
        <w:sz w:val="16"/>
        <w:szCs w:val="16"/>
      </w:rPr>
      <w:t xml:space="preserve">Strona </w:t>
    </w:r>
    <w:r>
      <w:rPr>
        <w:rFonts w:ascii="Calibri" w:cs="Calibri" w:eastAsia="Calibri" w:hAnsi="Calibri"/>
        <w:color w:val="5A6B7C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5A6B7C"/>
        <w:sz w:val="16"/>
        <w:szCs w:val="16"/>
      </w:rPr>
      <w:t xml:space="preserve"> z </w:t>
    </w:r>
    <w:r>
      <w:rPr>
        <w:rFonts w:ascii="Calibri" w:cs="Calibri" w:eastAsia="Calibri" w:hAnsi="Calibri"/>
        <w:color w:val="5A6B7C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6D2DE" w:sz="4" w:space="3"/>
      </w:pBdr>
      <w:spacing w:after="0"/>
      <w:jc w:val="right"/>
    </w:pPr>
    <w:r>
      <w:rPr>
        <w:rFonts w:ascii="Calibri" w:cs="Calibri" w:eastAsia="Calibri" w:hAnsi="Calibri"/>
        <w:b w:val="false"/>
        <w:bCs w:val="false"/>
        <w:color w:val="5A6B7C"/>
        <w:sz w:val="16"/>
        <w:szCs w:val="16"/>
      </w:rPr>
      <w:t xml:space="preserve">Szkolenie NIS2 / UoKSC w praktyce  ·  LT MASTERY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▪"/>
      <w:lvlJc w:val="left"/>
      <w:pPr>
        <w:ind w:left="340" w:hanging="200"/>
      </w:pPr>
      <w:rPr>
        <w:color w:val="1F6FB2"/>
      </w:rPr>
    </w:lvl>
    <w:lvl w:ilvl="1" w15:tentative="1">
      <w:start w:val="1"/>
      <w:numFmt w:val="bullet"/>
      <w:lvlText w:val="–"/>
      <w:lvlJc w:val="left"/>
      <w:pPr>
        <w:ind w:left="700" w:hanging="20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260"/>
      </w:pPr>
      <w:rPr>
        <w:b/>
        <w:bCs/>
        <w:color w:val="1E2761"/>
      </w:r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Ćwiczenie 5 — Pierwsze 24 godziny</dc:title>
  <dc:creator>LT MASTERY Szkolenia dla Biznesu Piotr Szymczyk</dc:creator>
  <cp:lastModifiedBy>Un-named</cp:lastModifiedBy>
  <cp:revision>1</cp:revision>
  <dcterms:created xsi:type="dcterms:W3CDTF">2026-08-28T11:55:44.150Z</dcterms:created>
  <dcterms:modified xsi:type="dcterms:W3CDTF">2026-08-28T11:55:44.150Z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