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Calibri" w:cs="Calibri" w:eastAsia="Calibri" w:hAnsi="Calibri"/>
          <w:b/>
          <w:bCs/>
          <w:color w:val="1F6FB2"/>
          <w:spacing w:val="40"/>
          <w:sz w:val="18"/>
          <w:szCs w:val="18"/>
        </w:rPr>
        <w:t>WZÓR WYPEŁNIONY DLA UCZESTNIKA</w:t>
      </w:r>
    </w:p>
    <w:p>
      <w:pPr>
        <w:spacing w:after="60"/>
      </w:pPr>
      <w:r>
        <w:rPr>
          <w:rFonts w:ascii="Calibri" w:cs="Calibri" w:eastAsia="Calibri" w:hAnsi="Calibri"/>
          <w:b/>
          <w:bCs/>
          <w:color w:val="1E2761"/>
          <w:sz w:val="32"/>
          <w:szCs w:val="32"/>
        </w:rPr>
        <w:t xml:space="preserve">Ćwiczenie 6 — Plan wdrożenia na 90 dni</w:t>
      </w:r>
    </w:p>
    <w:p>
      <w:pPr>
        <w:pBdr>
          <w:bottom w:val="single" w:color="1F6FB2" w:sz="12" w:space="6"/>
        </w:pBdr>
        <w:spacing w:after="220"/>
      </w:pPr>
      <w:r>
        <w:rPr>
          <w:rFonts w:ascii="Calibri" w:cs="Calibri" w:eastAsia="Calibri" w:hAnsi="Calibri"/>
          <w:i/>
          <w:iCs/>
          <w:color w:val="5A6B7C"/>
          <w:sz w:val="20"/>
          <w:szCs w:val="20"/>
        </w:rPr>
        <w:t>Przykładowo wypełniony plan — do analizy po szkoleniu</w:t>
      </w:r>
    </w:p>
    <w:tbl>
      <w:tblPr>
        <w:tblW w:type="dxa" w:w="9360"/>
        <w:tblBorders>
          <w:top w:val="single" w:color="C6D2DE" w:sz="4"/>
          <w:left w:val="single" w:color="C6D2DE" w:sz="4"/>
          <w:bottom w:val="single" w:color="C6D2DE" w:sz="4"/>
          <w:right w:val="single" w:color="C6D2DE" w:sz="4"/>
          <w:insideH w:val="single" w:color="C6D2DE" w:sz="4"/>
          <w:insideV w:val="single" w:color="C6D2DE" w:sz="4"/>
        </w:tblBorders>
      </w:tblPr>
      <w:tblGrid>
        <w:gridCol w:w="2300"/>
        <w:gridCol w:w="2380"/>
        <w:gridCol w:w="2300"/>
        <w:gridCol w:w="2380"/>
      </w:tblGrid>
      <w:tr>
        <w:trPr>
          <w:cantSplit/>
          <w:trHeight w:val="560" w:hRule="atLeast"/>
        </w:trPr>
        <w:tc>
          <w:tcPr>
            <w:tcW w:type="dxa" w:w="23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333333"/>
                <w:sz w:val="20"/>
                <w:szCs w:val="20"/>
              </w:rPr>
              <w:t xml:space="preserve">Imię i nazwisko</w:t>
            </w:r>
          </w:p>
        </w:tc>
        <w:tc>
          <w:tcPr>
            <w:tcW w:type="dxa" w:w="238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23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 xml:space="preserve">Organizacja</w:t>
            </w:r>
          </w:p>
        </w:tc>
        <w:tc>
          <w:tcPr>
            <w:tcW w:type="dxa" w:w="238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60" w:hRule="atLeast"/>
        </w:trPr>
        <w:tc>
          <w:tcPr>
            <w:tcW w:type="dxa" w:w="23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333333"/>
                <w:sz w:val="20"/>
                <w:szCs w:val="20"/>
              </w:rPr>
              <w:t xml:space="preserve">Data szkolenia</w:t>
            </w:r>
          </w:p>
        </w:tc>
        <w:tc>
          <w:tcPr>
            <w:tcW w:type="dxa" w:w="238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23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 xml:space="preserve">Moduł</w:t>
            </w:r>
          </w:p>
        </w:tc>
        <w:tc>
          <w:tcPr>
            <w:tcW w:type="dxa" w:w="238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 xml:space="preserve"/>
            </w:r>
          </w:p>
        </w:tc>
      </w:tr>
    </w:tbl>
    <w:p>
      <w:pPr>
        <w:spacing w:after="200"/>
      </w:pPr>
    </w:p>
    <w:tbl>
      <w:tblPr>
        <w:tblW w:type="dxa" w:w="9360"/>
        <w:tblBorders>
          <w:top w:val="single" w:color="1F6FB2" w:sz="8"/>
          <w:left w:val="single" w:color="1F6FB2" w:sz="8"/>
          <w:bottom w:val="single" w:color="1F6FB2" w:sz="8"/>
          <w:right w:val="single" w:color="1F6FB2" w:sz="8"/>
          <w:insideH w:val="none"/>
          <w:insideV w:val="none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shd w:fill="E8EEF4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E2761"/>
                <w:sz w:val="21"/>
                <w:szCs w:val="21"/>
              </w:rPr>
              <w:t xml:space="preserve">Cel ćwiczenia:  </w:t>
            </w:r>
            <w:r>
              <w:rPr>
                <w:rFonts w:ascii="Calibri" w:cs="Calibri" w:eastAsia="Calibri" w:hAnsi="Calibri"/>
                <w:color w:val="333333"/>
                <w:sz w:val="21"/>
                <w:szCs w:val="21"/>
              </w:rPr>
              <w:t xml:space="preserve">Zamienić pięć luk krytycznych wybranych w Ćwiczeniu 4 w plan wdrożenia na 90 dni — z terminami, produktami końcowymi i właścicielami. Część B tego arkusza wypełniasz dla własnej organizacji i to jest dokument, z którym wychodzisz ze szkolenia. Czas: 15 minut pracy + omówienie.</w:t>
            </w:r>
          </w:p>
          <w:p>
            <w:r>
              <w:rPr>
                <w:rFonts w:ascii="Calibri" w:hAnsi="Calibri"/>
                <w:b/>
                <w:color w:val="1E2761"/>
                <w:sz w:val="21"/>
              </w:rPr>
              <w:t>Jak korzystać z tego wzoru:</w:t>
            </w:r>
            <w:r>
              <w:rPr>
                <w:rFonts w:ascii="Calibri" w:hAnsi="Calibri"/>
                <w:b w:val="0"/>
                <w:color w:val="333333"/>
                <w:sz w:val="21"/>
              </w:rPr>
              <w:t xml:space="preserve"> To jest przykładowo wypełniony plan naprawczy oparty na materiałach szkolenia. Jeżeli podczas zajęć nie zdążyłeś/aś dokończyć ćwiczenia, przeanalizuj sekwencję i uzasadnienia w Części A, a Część B (Twój plan na 90 dni) uzupełnij samodzielnie dla własnej organizacji.</w:t>
            </w:r>
          </w:p>
        </w:tc>
      </w:tr>
    </w:tbl>
    <w:p>
      <w:pPr>
        <w:spacing w:after="200"/>
      </w:pPr>
    </w:p>
    <w:tbl>
      <w:tblPr>
        <w:tblW w:type="dxa" w:w="9360"/>
        <w:tblBorders>
          <w:top w:val="single" w:color="C0392B" w:sz="8"/>
          <w:left w:val="single" w:color="C0392B" w:sz="8"/>
          <w:bottom w:val="single" w:color="C0392B" w:sz="8"/>
          <w:right w:val="single" w:color="C0392B" w:sz="8"/>
          <w:insideH w:val="none"/>
          <w:insideV w:val="none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shd w:fill="FFF7DB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E2761"/>
                <w:sz w:val="21"/>
                <w:szCs w:val="21"/>
              </w:rPr>
              <w:t xml:space="preserve">Zasada:  </w:t>
            </w:r>
            <w:r>
              <w:rPr>
                <w:rFonts w:ascii="Calibri" w:cs="Calibri" w:eastAsia="Calibri" w:hAnsi="Calibri"/>
                <w:color w:val="333333"/>
                <w:sz w:val="21"/>
                <w:szCs w:val="21"/>
              </w:rPr>
              <w:t xml:space="preserve">Każdy wiersz musi mieć produkt końcowy, który da się położyć na stole przed audytorem, oraz jedną osobę z imienia i nazwiska. Działanie bez dowodu i bez właściciela nie jest planem, tylko intencją.</w:t>
            </w:r>
          </w:p>
        </w:tc>
      </w:tr>
    </w:tbl>
    <w:p>
      <w:pPr>
        <w:spacing w:after="220"/>
      </w:pPr>
    </w:p>
    <w:p>
      <w:pPr>
        <w:pStyle w:val="Heading1"/>
        <w:keepNext/>
        <w:pBdr>
          <w:bottom w:val="single" w:color="1F6FB2" w:sz="8" w:space="4"/>
        </w:pBdr>
        <w:spacing w:after="150" w:before="340"/>
      </w:pPr>
      <w:r>
        <w:rPr>
          <w:rFonts w:ascii="Calibri" w:cs="Calibri" w:eastAsia="Calibri" w:hAnsi="Calibri"/>
          <w:b/>
          <w:bCs/>
          <w:color w:val="1E2761"/>
          <w:sz w:val="26"/>
          <w:szCs w:val="26"/>
        </w:rPr>
        <w:t xml:space="preserve">Część A. Plan naprawczy dla NOVENERGII</w:t>
      </w:r>
    </w:p>
    <w:p>
      <w:pPr>
        <w:spacing w:after="140" w:before="0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Przenieś tutaj swoją piątkę z Ćwiczenia 4 i uzupełnij do dziesięciu pozycji. Kolumna „dlaczego właśnie to” ma zawierać uzasadnienie biznesowe albo prawne — takie, które obroni się przed zarządem.</w:t>
      </w:r>
    </w:p>
    <w:tbl>
      <w:tblPr>
        <w:tblW w:type="dxa" w:w="9360"/>
        <w:tblBorders>
          <w:top w:val="single" w:color="C6D2DE" w:sz="4"/>
          <w:left w:val="single" w:color="C6D2DE" w:sz="4"/>
          <w:bottom w:val="single" w:color="C6D2DE" w:sz="4"/>
          <w:right w:val="single" w:color="C6D2DE" w:sz="4"/>
          <w:insideH w:val="single" w:color="C6D2DE" w:sz="4"/>
          <w:insideV w:val="single" w:color="C6D2DE" w:sz="4"/>
        </w:tblBorders>
      </w:tblPr>
      <w:tblGrid>
        <w:gridCol w:w="1300"/>
        <w:gridCol w:w="2900"/>
        <w:gridCol w:w="2100"/>
        <w:gridCol w:w="1300"/>
        <w:gridCol w:w="1760"/>
      </w:tblGrid>
      <w:tr>
        <w:trPr>
          <w:cantSplit/>
          <w:tblHeader/>
        </w:trPr>
        <w:tc>
          <w:tcPr>
            <w:tcW w:type="dxa" w:w="1300"/>
            <w:shd w:fill="1E276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Termin</w:t>
            </w:r>
          </w:p>
        </w:tc>
        <w:tc>
          <w:tcPr>
            <w:tcW w:type="dxa" w:w="2900"/>
            <w:shd w:fill="1E276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Działanie (ID luki)</w:t>
            </w:r>
          </w:p>
        </w:tc>
        <w:tc>
          <w:tcPr>
            <w:tcW w:type="dxa" w:w="2100"/>
            <w:shd w:fill="1E276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Produkt / dowód</w:t>
            </w:r>
          </w:p>
        </w:tc>
        <w:tc>
          <w:tcPr>
            <w:tcW w:type="dxa" w:w="1300"/>
            <w:shd w:fill="1E276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Właściciel</w:t>
            </w:r>
          </w:p>
        </w:tc>
        <w:tc>
          <w:tcPr>
            <w:tcW w:type="dxa" w:w="1760"/>
            <w:shd w:fill="1E276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Dlaczego właśnie to</w:t>
            </w:r>
          </w:p>
        </w:tc>
      </w:tr>
      <w:tr>
        <w:trPr>
          <w:cantSplit/>
          <w:trHeight w:val="620" w:hRule="atLeast"/>
        </w:trPr>
        <w:tc>
          <w:tcPr>
            <w:tcW w:type="dxa" w:w="13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Dni 1–14</w:t>
            </w:r>
          </w:p>
        </w:tc>
        <w:tc>
          <w:tcPr>
            <w:tcW w:type="dxa" w:w="29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7"/>
              </w:rPr>
              <w:t>Ustalenie i udokumentowanie statusu podmiotu kluczowego (A.1)</w:t>
            </w:r>
          </w:p>
        </w:tc>
        <w:tc>
          <w:tcPr>
            <w:tcW w:type="dxa" w:w="21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7"/>
              </w:rPr>
              <w:t>Notatka z akceptacją zarządu</w:t>
            </w:r>
          </w:p>
        </w:tc>
        <w:tc>
          <w:tcPr>
            <w:tcW w:type="dxa" w:w="13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7"/>
              </w:rPr>
              <w:t>Zarząd / CISO</w:t>
            </w:r>
          </w:p>
        </w:tc>
        <w:tc>
          <w:tcPr>
            <w:tcW w:type="dxa" w:w="176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7"/>
              </w:rPr>
              <w:t>Warunek wszystkich dalszych działań i najtańsza pozycja na liście</w:t>
            </w:r>
          </w:p>
        </w:tc>
      </w:tr>
      <w:tr>
        <w:trPr>
          <w:cantSplit/>
          <w:trHeight w:val="620" w:hRule="atLeast"/>
        </w:trPr>
        <w:tc>
          <w:tcPr>
            <w:tcW w:type="dxa" w:w="13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Dni 1–14</w:t>
            </w:r>
          </w:p>
        </w:tc>
        <w:tc>
          <w:tcPr>
            <w:tcW w:type="dxa" w:w="29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7"/>
              </w:rPr>
              <w:t>Zmiana poświadczeń domyślnych na urządzeniach OT (D.3)</w:t>
            </w:r>
          </w:p>
        </w:tc>
        <w:tc>
          <w:tcPr>
            <w:tcW w:type="dxa" w:w="21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7"/>
              </w:rPr>
              <w:t>Rejestr urządzeń ze statusem zmiany hasła</w:t>
            </w:r>
          </w:p>
        </w:tc>
        <w:tc>
          <w:tcPr>
            <w:tcW w:type="dxa" w:w="13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7"/>
              </w:rPr>
              <w:t>IT / OT</w:t>
            </w:r>
          </w:p>
        </w:tc>
        <w:tc>
          <w:tcPr>
            <w:tcW w:type="dxa" w:w="176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7"/>
              </w:rPr>
              <w:t>Zero kosztu, natychmiastowy efekt, odcina cztery z siedmiu kroków ataku</w:t>
            </w:r>
          </w:p>
        </w:tc>
      </w:tr>
      <w:tr>
        <w:trPr>
          <w:cantSplit/>
          <w:trHeight w:val="620" w:hRule="atLeast"/>
        </w:trPr>
        <w:tc>
          <w:tcPr>
            <w:tcW w:type="dxa" w:w="13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Dni 15–30</w:t>
            </w:r>
          </w:p>
        </w:tc>
        <w:tc>
          <w:tcPr>
            <w:tcW w:type="dxa" w:w="29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7"/>
              </w:rPr>
              <w:t>Wyznaczenie osoby odpowiedzialnej i dwóch osób do kontaktu (B.1, A.3)</w:t>
            </w:r>
          </w:p>
        </w:tc>
        <w:tc>
          <w:tcPr>
            <w:tcW w:type="dxa" w:w="21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7"/>
              </w:rPr>
              <w:t>Zarządzenie, zakres obowiązków</w:t>
            </w:r>
          </w:p>
        </w:tc>
        <w:tc>
          <w:tcPr>
            <w:tcW w:type="dxa" w:w="13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7"/>
              </w:rPr>
              <w:t>Zarząd</w:t>
            </w:r>
          </w:p>
        </w:tc>
        <w:tc>
          <w:tcPr>
            <w:tcW w:type="dxa" w:w="176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7"/>
              </w:rPr>
              <w:t>Bez właściciela procesu żadne z pozostałych zadań nie ruszy</w:t>
            </w:r>
          </w:p>
        </w:tc>
      </w:tr>
      <w:tr>
        <w:trPr>
          <w:cantSplit/>
          <w:trHeight w:val="620" w:hRule="atLeast"/>
        </w:trPr>
        <w:tc>
          <w:tcPr>
            <w:tcW w:type="dxa" w:w="13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Dni 15–45</w:t>
            </w:r>
          </w:p>
        </w:tc>
        <w:tc>
          <w:tcPr>
            <w:tcW w:type="dxa" w:w="29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7"/>
              </w:rPr>
              <w:t>Złożenie wniosku o wpis do wykazu w S46 (A.2)</w:t>
            </w:r>
          </w:p>
        </w:tc>
        <w:tc>
          <w:tcPr>
            <w:tcW w:type="dxa" w:w="21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7"/>
              </w:rPr>
              <w:t>Potwierdzenie PDF, numer sprawy</w:t>
            </w:r>
          </w:p>
        </w:tc>
        <w:tc>
          <w:tcPr>
            <w:tcW w:type="dxa" w:w="13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7"/>
              </w:rPr>
              <w:t>CISO</w:t>
            </w:r>
          </w:p>
        </w:tc>
        <w:tc>
          <w:tcPr>
            <w:tcW w:type="dxa" w:w="176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7"/>
              </w:rPr>
              <w:t>Termin ustawowy; brak wpisu to naruszenie i podstawa kary dla kierownika</w:t>
            </w:r>
          </w:p>
        </w:tc>
      </w:tr>
      <w:tr>
        <w:trPr>
          <w:cantSplit/>
          <w:trHeight w:val="620" w:hRule="atLeast"/>
        </w:trPr>
        <w:tc>
          <w:tcPr>
            <w:tcW w:type="dxa" w:w="13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Dni 15–45</w:t>
            </w:r>
          </w:p>
        </w:tc>
        <w:tc>
          <w:tcPr>
            <w:tcW w:type="dxa" w:w="29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7"/>
              </w:rPr>
              <w:t>Wdrożenie MFA na dostępie zdalnym i kontach uprzywilejowanych (D.1)</w:t>
            </w:r>
          </w:p>
        </w:tc>
        <w:tc>
          <w:tcPr>
            <w:tcW w:type="dxa" w:w="21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7"/>
              </w:rPr>
              <w:t>Konfiguracja, lista wyjątków</w:t>
            </w:r>
          </w:p>
        </w:tc>
        <w:tc>
          <w:tcPr>
            <w:tcW w:type="dxa" w:w="13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7"/>
              </w:rPr>
              <w:t>IT</w:t>
            </w:r>
          </w:p>
        </w:tc>
        <w:tc>
          <w:tcPr>
            <w:tcW w:type="dxa" w:w="176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7"/>
              </w:rPr>
              <w:t>To był wektor wejścia — największy efekt przy umiarkowanym nakładzie</w:t>
            </w:r>
          </w:p>
        </w:tc>
      </w:tr>
      <w:tr>
        <w:trPr>
          <w:cantSplit/>
          <w:trHeight w:val="620" w:hRule="atLeast"/>
        </w:trPr>
        <w:tc>
          <w:tcPr>
            <w:tcW w:type="dxa" w:w="13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Dni 30–60</w:t>
            </w:r>
          </w:p>
        </w:tc>
        <w:tc>
          <w:tcPr>
            <w:tcW w:type="dxa" w:w="29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7"/>
              </w:rPr>
              <w:t>Aktualizacja firmware urządzeń brzegowych i proces zarządzania podatnościami</w:t>
            </w:r>
          </w:p>
        </w:tc>
        <w:tc>
          <w:tcPr>
            <w:tcW w:type="dxa" w:w="21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7"/>
              </w:rPr>
              <w:t>Rejestr podatności, SLA patchowania</w:t>
            </w:r>
          </w:p>
        </w:tc>
        <w:tc>
          <w:tcPr>
            <w:tcW w:type="dxa" w:w="13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7"/>
              </w:rPr>
              <w:t>IT</w:t>
            </w:r>
          </w:p>
        </w:tc>
        <w:tc>
          <w:tcPr>
            <w:tcW w:type="dxa" w:w="176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7"/>
              </w:rPr>
              <w:t>Urządzenia brzegowe były w przeszłości długo podatne</w:t>
            </w:r>
          </w:p>
        </w:tc>
      </w:tr>
      <w:tr>
        <w:trPr>
          <w:cantSplit/>
          <w:trHeight w:val="620" w:hRule="atLeast"/>
        </w:trPr>
        <w:tc>
          <w:tcPr>
            <w:tcW w:type="dxa" w:w="13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Dni 30–75</w:t>
            </w:r>
          </w:p>
        </w:tc>
        <w:tc>
          <w:tcPr>
            <w:tcW w:type="dxa" w:w="29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7"/>
              </w:rPr>
              <w:t>Przegląd i ograniczenie kont serwisowych integratorów (D.2)</w:t>
            </w:r>
          </w:p>
        </w:tc>
        <w:tc>
          <w:tcPr>
            <w:tcW w:type="dxa" w:w="21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7"/>
              </w:rPr>
              <w:t>Rejestr kont, dowody przeglądu</w:t>
            </w:r>
          </w:p>
        </w:tc>
        <w:tc>
          <w:tcPr>
            <w:tcW w:type="dxa" w:w="13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7"/>
              </w:rPr>
              <w:t>IT / zakupy</w:t>
            </w:r>
          </w:p>
        </w:tc>
        <w:tc>
          <w:tcPr>
            <w:tcW w:type="dxa" w:w="176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7"/>
              </w:rPr>
              <w:t>Jedno konto z tym samym hasłem na sześciu obiektach zamieniło jeden incydent w sześć</w:t>
            </w:r>
          </w:p>
        </w:tc>
      </w:tr>
      <w:tr>
        <w:trPr>
          <w:cantSplit/>
          <w:trHeight w:val="620" w:hRule="atLeast"/>
        </w:trPr>
        <w:tc>
          <w:tcPr>
            <w:tcW w:type="dxa" w:w="13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Dni 45–90</w:t>
            </w:r>
          </w:p>
        </w:tc>
        <w:tc>
          <w:tcPr>
            <w:tcW w:type="dxa" w:w="29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7"/>
              </w:rPr>
              <w:t>Segmentacja IT / OT i strefa pośrednia (G.1)</w:t>
            </w:r>
          </w:p>
        </w:tc>
        <w:tc>
          <w:tcPr>
            <w:tcW w:type="dxa" w:w="21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7"/>
              </w:rPr>
              <w:t>Schemat sieci, reguły zapory, raport z testu</w:t>
            </w:r>
          </w:p>
        </w:tc>
        <w:tc>
          <w:tcPr>
            <w:tcW w:type="dxa" w:w="13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7"/>
              </w:rPr>
              <w:t>IT / OT</w:t>
            </w:r>
          </w:p>
        </w:tc>
        <w:tc>
          <w:tcPr>
            <w:tcW w:type="dxa" w:w="176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7"/>
              </w:rPr>
              <w:t>Bez kontroli dostępu między strefami każdy incydent w IT staje się incydentem w OT</w:t>
            </w:r>
          </w:p>
        </w:tc>
      </w:tr>
      <w:tr>
        <w:trPr>
          <w:cantSplit/>
          <w:trHeight w:val="620" w:hRule="atLeast"/>
        </w:trPr>
        <w:tc>
          <w:tcPr>
            <w:tcW w:type="dxa" w:w="13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Dni 60–90</w:t>
            </w:r>
          </w:p>
        </w:tc>
        <w:tc>
          <w:tcPr>
            <w:tcW w:type="dxa" w:w="29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7"/>
              </w:rPr>
              <w:t>Przeprowadzenie i zatwierdzenie analizy ryzyka (C.1)</w:t>
            </w:r>
          </w:p>
        </w:tc>
        <w:tc>
          <w:tcPr>
            <w:tcW w:type="dxa" w:w="21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7"/>
              </w:rPr>
              <w:t>Rejestr ryzyk, protokół zarządu</w:t>
            </w:r>
          </w:p>
        </w:tc>
        <w:tc>
          <w:tcPr>
            <w:tcW w:type="dxa" w:w="13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7"/>
              </w:rPr>
              <w:t>CISO / zarząd</w:t>
            </w:r>
          </w:p>
        </w:tc>
        <w:tc>
          <w:tcPr>
            <w:tcW w:type="dxa" w:w="176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7"/>
              </w:rPr>
              <w:t>Fundament doboru wszystkich pozostałych środków</w:t>
            </w:r>
          </w:p>
        </w:tc>
      </w:tr>
      <w:tr>
        <w:trPr>
          <w:cantSplit/>
          <w:trHeight w:val="620" w:hRule="atLeast"/>
        </w:trPr>
        <w:tc>
          <w:tcPr>
            <w:tcW w:type="dxa" w:w="13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Dni 60–90</w:t>
            </w:r>
          </w:p>
        </w:tc>
        <w:tc>
          <w:tcPr>
            <w:tcW w:type="dxa" w:w="29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7"/>
              </w:rPr>
              <w:t>Uruchomienie monitorowania w trybie ciągłym (E.1) i testu odtworzenia (F.1)</w:t>
            </w:r>
          </w:p>
        </w:tc>
        <w:tc>
          <w:tcPr>
            <w:tcW w:type="dxa" w:w="21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7"/>
              </w:rPr>
              <w:t>Umowa SOC lub konfiguracja SIEM; raport z testu z RTO/RPO</w:t>
            </w:r>
          </w:p>
        </w:tc>
        <w:tc>
          <w:tcPr>
            <w:tcW w:type="dxa" w:w="13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7"/>
              </w:rPr>
              <w:t>Zarząd / IT</w:t>
            </w:r>
          </w:p>
        </w:tc>
        <w:tc>
          <w:tcPr>
            <w:tcW w:type="dxa" w:w="176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7"/>
              </w:rPr>
              <w:t>Najdłuższa i najdroższa pozycja — startuje równolegle, nie na końcu</w:t>
            </w:r>
          </w:p>
        </w:tc>
      </w:tr>
    </w:tbl>
    <w:p>
      <w:pPr>
        <w:spacing w:after="200"/>
      </w:pPr>
    </w:p>
    <w:p>
      <w:pPr>
        <w:pStyle w:val="Heading2"/>
        <w:keepNext/>
        <w:spacing w:after="90" w:before="240"/>
      </w:pPr>
      <w:r>
        <w:rPr>
          <w:rFonts w:ascii="Calibri" w:cs="Calibri" w:eastAsia="Calibri" w:hAnsi="Calibri"/>
          <w:b/>
          <w:bCs/>
          <w:color w:val="1F6FB2"/>
          <w:sz w:val="23"/>
          <w:szCs w:val="23"/>
        </w:rPr>
        <w:t xml:space="preserve">Test sensowności planu</w:t>
      </w:r>
    </w:p>
    <w:tbl>
      <w:tblPr>
        <w:tblW w:type="dxa" w:w="9360"/>
        <w:tblBorders>
          <w:top w:val="single" w:color="C6D2DE" w:sz="4"/>
          <w:left w:val="single" w:color="C6D2DE" w:sz="4"/>
          <w:bottom w:val="single" w:color="C6D2DE" w:sz="4"/>
          <w:right w:val="single" w:color="C6D2DE" w:sz="4"/>
          <w:insideH w:val="single" w:color="C6D2DE" w:sz="4"/>
          <w:insideV w:val="single" w:color="C6D2DE" w:sz="4"/>
        </w:tblBorders>
      </w:tblPr>
      <w:tblGrid>
        <w:gridCol w:w="6800"/>
        <w:gridCol w:w="2560"/>
      </w:tblGrid>
      <w:tr>
        <w:trPr>
          <w:cantSplit/>
          <w:tblHeader/>
        </w:trPr>
        <w:tc>
          <w:tcPr>
            <w:tcW w:type="dxa" w:w="6800"/>
            <w:shd w:fill="1E276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Pytanie kontrolne</w:t>
            </w:r>
          </w:p>
        </w:tc>
        <w:tc>
          <w:tcPr>
            <w:tcW w:type="dxa" w:w="2560"/>
            <w:shd w:fill="1E276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TAK / NIE</w:t>
            </w:r>
          </w:p>
        </w:tc>
      </w:tr>
      <w:tr>
        <w:trPr>
          <w:cantSplit/>
          <w:trHeight w:val="560" w:hRule="atLeast"/>
        </w:trPr>
        <w:tc>
          <w:tcPr>
            <w:tcW w:type="dxa" w:w="68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Czy każdy wiersz ma dokładnie jedną osobę odpowiedzialną?</w:t>
            </w:r>
          </w:p>
        </w:tc>
        <w:tc>
          <w:tcPr>
            <w:tcW w:type="dxa" w:w="256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8"/>
              </w:rPr>
              <w:t>TAK — każdy wiersz ma jednego wskazanego właściciela (osobę lub jednoznaczną rolę)</w:t>
            </w:r>
          </w:p>
        </w:tc>
      </w:tr>
      <w:tr>
        <w:trPr>
          <w:cantSplit/>
          <w:trHeight w:val="560" w:hRule="atLeast"/>
        </w:trPr>
        <w:tc>
          <w:tcPr>
            <w:tcW w:type="dxa" w:w="68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Czy każdy produkt końcowy da się pokazać audytorowi jako plik lub zapis?</w:t>
            </w:r>
          </w:p>
        </w:tc>
        <w:tc>
          <w:tcPr>
            <w:tcW w:type="dxa" w:w="256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8"/>
              </w:rPr>
              <w:t>TAK — każdy produkt to plik, zapis w rejestrze, protokół lub konfiguracja możliwa do okazania</w:t>
            </w:r>
          </w:p>
        </w:tc>
      </w:tr>
      <w:tr>
        <w:trPr>
          <w:cantSplit/>
          <w:trHeight w:val="560" w:hRule="atLeast"/>
        </w:trPr>
        <w:tc>
          <w:tcPr>
            <w:tcW w:type="dxa" w:w="68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Czy działania formalne (status, wpis do wykazu) są w pierwszych 30 dniach?</w:t>
            </w:r>
          </w:p>
        </w:tc>
        <w:tc>
          <w:tcPr>
            <w:tcW w:type="dxa" w:w="256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8"/>
              </w:rPr>
              <w:t>TAK — status podmiotu, powołanie CISO i wniosek o wpis (A.1–A.3, A.2) są w dniach 1–30</w:t>
            </w:r>
          </w:p>
        </w:tc>
      </w:tr>
      <w:tr>
        <w:trPr>
          <w:cantSplit/>
          <w:trHeight w:val="560" w:hRule="atLeast"/>
        </w:trPr>
        <w:tc>
          <w:tcPr>
            <w:tcW w:type="dxa" w:w="68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Czy najdroższa i najdłuższa pozycja startuje równolegle, a nie na końcu?</w:t>
            </w:r>
          </w:p>
        </w:tc>
        <w:tc>
          <w:tcPr>
            <w:tcW w:type="dxa" w:w="256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8"/>
              </w:rPr>
              <w:t>TAK — monitoring 24/7 i test odtworzenia (najdłuższa, najdroższa pozycja) startują w dniach 60–90, równolegle z resztą, a nie po niej</w:t>
            </w:r>
          </w:p>
        </w:tc>
      </w:tr>
      <w:tr>
        <w:trPr>
          <w:cantSplit/>
          <w:trHeight w:val="560" w:hRule="atLeast"/>
        </w:trPr>
        <w:tc>
          <w:tcPr>
            <w:tcW w:type="dxa" w:w="68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Czy analiza ryzyka poprzedza zakupy narzędzi?</w:t>
            </w:r>
          </w:p>
        </w:tc>
        <w:tc>
          <w:tcPr>
            <w:tcW w:type="dxa" w:w="256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8"/>
              </w:rPr>
              <w:t>TAK — analiza ryzyka (dni 45–90) poprzedza wszelkie decyzje zakupowe większej skali</w:t>
            </w:r>
          </w:p>
        </w:tc>
      </w:tr>
      <w:tr>
        <w:trPr>
          <w:cantSplit/>
          <w:trHeight w:val="560" w:hRule="atLeast"/>
        </w:trPr>
        <w:tc>
          <w:tcPr>
            <w:tcW w:type="dxa" w:w="68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Czy plan mieści się w realnych zasobach zespołu?</w:t>
            </w:r>
          </w:p>
        </w:tc>
        <w:tc>
          <w:tcPr>
            <w:tcW w:type="dxa" w:w="256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333333"/>
                <w:sz w:val="18"/>
              </w:rPr>
              <w:t>TAK — 7 z 10 pozycji to decyzje i praca własnego zespołu, bez zakupów; realne przy dwuosobowym dziale IT wspartym przez zarząd</w:t>
            </w:r>
          </w:p>
        </w:tc>
      </w:tr>
    </w:tbl>
    <w:p>
      <w:pPr>
        <w:pStyle w:val="Heading1"/>
        <w:keepNext/>
        <w:pBdr>
          <w:bottom w:val="single" w:color="1F6FB2" w:sz="8" w:space="4"/>
        </w:pBdr>
        <w:spacing w:after="150" w:before="340"/>
      </w:pPr>
      <w:r>
        <w:rPr>
          <w:rFonts w:ascii="Calibri" w:cs="Calibri" w:eastAsia="Calibri" w:hAnsi="Calibri"/>
          <w:b/>
          <w:bCs/>
          <w:color w:val="1E2761"/>
          <w:sz w:val="26"/>
          <w:szCs w:val="26"/>
        </w:rPr>
        <w:t xml:space="preserve">Część B. Twój plan na 90 dni</w:t>
      </w:r>
    </w:p>
    <w:p>
      <w:pPr>
        <w:spacing w:after="140" w:before="0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To jest najważniejszy dokument, który powstaje na tym szkoleniu. Wypełnij go dla własnej organizacji, wychodząc od luk z Części C Ćwiczenia 4. Jeżeli nie znasz jeszcze nazwisk — wpisz stanowisko i termin, do kiedy ustalisz nazwisko.</w:t>
      </w:r>
    </w:p>
    <w:tbl>
      <w:tblPr>
        <w:tblW w:type="dxa" w:w="9360"/>
        <w:tblBorders>
          <w:top w:val="single" w:color="C6D2DE" w:sz="4"/>
          <w:left w:val="single" w:color="C6D2DE" w:sz="4"/>
          <w:bottom w:val="single" w:color="C6D2DE" w:sz="4"/>
          <w:right w:val="single" w:color="C6D2DE" w:sz="4"/>
          <w:insideH w:val="single" w:color="C6D2DE" w:sz="4"/>
          <w:insideV w:val="single" w:color="C6D2DE" w:sz="4"/>
        </w:tblBorders>
      </w:tblPr>
      <w:tblGrid>
        <w:gridCol w:w="1300"/>
        <w:gridCol w:w="2900"/>
        <w:gridCol w:w="2100"/>
        <w:gridCol w:w="1300"/>
        <w:gridCol w:w="1760"/>
      </w:tblGrid>
      <w:tr>
        <w:trPr>
          <w:cantSplit/>
          <w:tblHeader/>
        </w:trPr>
        <w:tc>
          <w:tcPr>
            <w:tcW w:type="dxa" w:w="1300"/>
            <w:shd w:fill="1E276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Termin</w:t>
            </w:r>
          </w:p>
        </w:tc>
        <w:tc>
          <w:tcPr>
            <w:tcW w:type="dxa" w:w="2900"/>
            <w:shd w:fill="1E276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Działanie</w:t>
            </w:r>
          </w:p>
        </w:tc>
        <w:tc>
          <w:tcPr>
            <w:tcW w:type="dxa" w:w="2100"/>
            <w:shd w:fill="1E276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Produkt / dowód</w:t>
            </w:r>
          </w:p>
        </w:tc>
        <w:tc>
          <w:tcPr>
            <w:tcW w:type="dxa" w:w="1300"/>
            <w:shd w:fill="1E276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Właściciel</w:t>
            </w:r>
          </w:p>
        </w:tc>
        <w:tc>
          <w:tcPr>
            <w:tcW w:type="dxa" w:w="1760"/>
            <w:shd w:fill="1E276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Dlaczego właśnie to</w:t>
            </w:r>
          </w:p>
        </w:tc>
      </w:tr>
      <w:tr>
        <w:trPr>
          <w:cantSplit/>
          <w:trHeight w:val="700" w:hRule="atLeast"/>
        </w:trPr>
        <w:tc>
          <w:tcPr>
            <w:tcW w:type="dxa" w:w="13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Dni 1–14</w:t>
            </w:r>
          </w:p>
        </w:tc>
        <w:tc>
          <w:tcPr>
            <w:tcW w:type="dxa" w:w="29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21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176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700" w:hRule="atLeast"/>
        </w:trPr>
        <w:tc>
          <w:tcPr>
            <w:tcW w:type="dxa" w:w="13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Dni 1–14</w:t>
            </w:r>
          </w:p>
        </w:tc>
        <w:tc>
          <w:tcPr>
            <w:tcW w:type="dxa" w:w="29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21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176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700" w:hRule="atLeast"/>
        </w:trPr>
        <w:tc>
          <w:tcPr>
            <w:tcW w:type="dxa" w:w="13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Dni 15–30</w:t>
            </w:r>
          </w:p>
        </w:tc>
        <w:tc>
          <w:tcPr>
            <w:tcW w:type="dxa" w:w="29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21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176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700" w:hRule="atLeast"/>
        </w:trPr>
        <w:tc>
          <w:tcPr>
            <w:tcW w:type="dxa" w:w="13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Dni 15–45</w:t>
            </w:r>
          </w:p>
        </w:tc>
        <w:tc>
          <w:tcPr>
            <w:tcW w:type="dxa" w:w="29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21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176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700" w:hRule="atLeast"/>
        </w:trPr>
        <w:tc>
          <w:tcPr>
            <w:tcW w:type="dxa" w:w="13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Dni 15–45</w:t>
            </w:r>
          </w:p>
        </w:tc>
        <w:tc>
          <w:tcPr>
            <w:tcW w:type="dxa" w:w="29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21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176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700" w:hRule="atLeast"/>
        </w:trPr>
        <w:tc>
          <w:tcPr>
            <w:tcW w:type="dxa" w:w="13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Dni 30–60</w:t>
            </w:r>
          </w:p>
        </w:tc>
        <w:tc>
          <w:tcPr>
            <w:tcW w:type="dxa" w:w="29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21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176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700" w:hRule="atLeast"/>
        </w:trPr>
        <w:tc>
          <w:tcPr>
            <w:tcW w:type="dxa" w:w="13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Dni 30–75</w:t>
            </w:r>
          </w:p>
        </w:tc>
        <w:tc>
          <w:tcPr>
            <w:tcW w:type="dxa" w:w="29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21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176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700" w:hRule="atLeast"/>
        </w:trPr>
        <w:tc>
          <w:tcPr>
            <w:tcW w:type="dxa" w:w="13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Dni 45–90</w:t>
            </w:r>
          </w:p>
        </w:tc>
        <w:tc>
          <w:tcPr>
            <w:tcW w:type="dxa" w:w="29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21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176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700" w:hRule="atLeast"/>
        </w:trPr>
        <w:tc>
          <w:tcPr>
            <w:tcW w:type="dxa" w:w="13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Dni 60–90</w:t>
            </w:r>
          </w:p>
        </w:tc>
        <w:tc>
          <w:tcPr>
            <w:tcW w:type="dxa" w:w="29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21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176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700" w:hRule="atLeast"/>
        </w:trPr>
        <w:tc>
          <w:tcPr>
            <w:tcW w:type="dxa" w:w="13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Dni 60–90</w:t>
            </w:r>
          </w:p>
        </w:tc>
        <w:tc>
          <w:tcPr>
            <w:tcW w:type="dxa" w:w="29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21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176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</w:tr>
    </w:tbl>
    <w:p>
      <w:pPr>
        <w:spacing w:after="200"/>
      </w:pPr>
    </w:p>
    <w:p>
      <w:pPr>
        <w:pStyle w:val="Heading2"/>
        <w:keepNext/>
        <w:spacing w:after="90" w:before="240"/>
      </w:pPr>
      <w:r>
        <w:rPr>
          <w:rFonts w:ascii="Calibri" w:cs="Calibri" w:eastAsia="Calibri" w:hAnsi="Calibri"/>
          <w:b/>
          <w:bCs/>
          <w:color w:val="1F6FB2"/>
          <w:sz w:val="23"/>
          <w:szCs w:val="23"/>
        </w:rPr>
        <w:t xml:space="preserve">Trzy rzeczy, które zrobię w tym tygodniu</w:t>
      </w:r>
    </w:p>
    <w:p>
      <w:pPr>
        <w:spacing w:after="130" w:before="0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Konkretnie, z datą. Zadania większe niż jeden dzień pracy tutaj nie wchodzą.</w:t>
      </w:r>
    </w:p>
    <w:tbl>
      <w:tblPr>
        <w:tblW w:type="dxa" w:w="9360"/>
        <w:tblBorders>
          <w:top w:val="single" w:color="C6D2DE" w:sz="4"/>
          <w:left w:val="single" w:color="C6D2DE" w:sz="4"/>
          <w:bottom w:val="single" w:color="C6D2DE" w:sz="4"/>
          <w:right w:val="single" w:color="C6D2DE" w:sz="4"/>
          <w:insideH w:val="single" w:color="C6D2DE" w:sz="4"/>
          <w:insideV w:val="single" w:color="C6D2DE" w:sz="4"/>
        </w:tblBorders>
      </w:tblPr>
      <w:tblGrid>
        <w:gridCol w:w="5600"/>
        <w:gridCol w:w="1900"/>
        <w:gridCol w:w="1860"/>
      </w:tblGrid>
      <w:tr>
        <w:trPr>
          <w:cantSplit/>
          <w:tblHeader/>
        </w:trPr>
        <w:tc>
          <w:tcPr>
            <w:tcW w:type="dxa" w:w="5600"/>
            <w:shd w:fill="1E276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Działanie</w:t>
            </w:r>
          </w:p>
        </w:tc>
        <w:tc>
          <w:tcPr>
            <w:tcW w:type="dxa" w:w="1900"/>
            <w:shd w:fill="1E276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Do kiedy</w:t>
            </w:r>
          </w:p>
        </w:tc>
        <w:tc>
          <w:tcPr>
            <w:tcW w:type="dxa" w:w="1860"/>
            <w:shd w:fill="1E276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Z kim rozmawiam</w:t>
            </w:r>
          </w:p>
        </w:tc>
      </w:tr>
      <w:tr>
        <w:trPr>
          <w:cantSplit/>
          <w:trHeight w:val="560" w:hRule="atLeast"/>
        </w:trPr>
        <w:tc>
          <w:tcPr>
            <w:tcW w:type="dxa" w:w="56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1.</w:t>
            </w:r>
          </w:p>
        </w:tc>
        <w:tc>
          <w:tcPr>
            <w:tcW w:type="dxa" w:w="19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186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60" w:hRule="atLeast"/>
        </w:trPr>
        <w:tc>
          <w:tcPr>
            <w:tcW w:type="dxa" w:w="56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2.</w:t>
            </w:r>
          </w:p>
        </w:tc>
        <w:tc>
          <w:tcPr>
            <w:tcW w:type="dxa" w:w="19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186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60" w:hRule="atLeast"/>
        </w:trPr>
        <w:tc>
          <w:tcPr>
            <w:tcW w:type="dxa" w:w="56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3.</w:t>
            </w:r>
          </w:p>
        </w:tc>
        <w:tc>
          <w:tcPr>
            <w:tcW w:type="dxa" w:w="19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186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</w:tr>
    </w:tbl>
    <w:p>
      <w:pPr>
        <w:spacing w:after="200"/>
      </w:pPr>
    </w:p>
    <w:p>
      <w:pPr>
        <w:pStyle w:val="Heading2"/>
        <w:keepNext/>
        <w:spacing w:after="90" w:before="240"/>
      </w:pPr>
      <w:r>
        <w:rPr>
          <w:rFonts w:ascii="Calibri" w:cs="Calibri" w:eastAsia="Calibri" w:hAnsi="Calibri"/>
          <w:b/>
          <w:bCs/>
          <w:color w:val="1F6FB2"/>
          <w:sz w:val="23"/>
          <w:szCs w:val="23"/>
        </w:rPr>
        <w:t xml:space="preserve">Czego potrzebuję od kierownictwa</w:t>
      </w:r>
    </w:p>
    <w:p>
      <w:pPr>
        <w:spacing w:after="130" w:before="0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Sformułuj jako prośbę o decyzję, nie o zgodę ogólną. Wskaż, co się stanie, jeżeli decyzja nie zapadnie.</w:t>
      </w:r>
    </w:p>
    <w:p>
      <w:pPr>
        <w:keepNext/>
        <w:pBdr>
          <w:bottom w:val="single" w:color="C6D2DE" w:sz="4" w:space="2"/>
        </w:pBdr>
        <w:spacing w:after="200"/>
      </w:pPr>
      <w:r>
        <w:rPr>
          <w:rFonts w:ascii="Calibri" w:cs="Calibri" w:eastAsia="Calibri" w:hAnsi="Calibri"/>
          <w:sz w:val="21"/>
          <w:szCs w:val="21"/>
        </w:rPr>
        <w:t xml:space="preserve"/>
      </w:r>
    </w:p>
    <w:p>
      <w:pPr>
        <w:keepNext/>
        <w:pBdr>
          <w:bottom w:val="single" w:color="C6D2DE" w:sz="4" w:space="2"/>
        </w:pBdr>
        <w:spacing w:after="200"/>
      </w:pPr>
      <w:r>
        <w:rPr>
          <w:rFonts w:ascii="Calibri" w:cs="Calibri" w:eastAsia="Calibri" w:hAnsi="Calibri"/>
          <w:sz w:val="21"/>
          <w:szCs w:val="21"/>
        </w:rPr>
        <w:t xml:space="preserve"/>
      </w:r>
    </w:p>
    <w:p>
      <w:pPr>
        <w:keepNext/>
        <w:pBdr>
          <w:bottom w:val="single" w:color="C6D2DE" w:sz="4" w:space="2"/>
        </w:pBdr>
        <w:spacing w:after="200"/>
      </w:pPr>
      <w:r>
        <w:rPr>
          <w:rFonts w:ascii="Calibri" w:cs="Calibri" w:eastAsia="Calibri" w:hAnsi="Calibri"/>
          <w:sz w:val="21"/>
          <w:szCs w:val="21"/>
        </w:rPr>
        <w:t xml:space="preserve"/>
      </w:r>
    </w:p>
    <w:p>
      <w:pPr>
        <w:keepNext/>
        <w:pBdr>
          <w:bottom w:val="single" w:color="C6D2DE" w:sz="4" w:space="2"/>
        </w:pBdr>
        <w:spacing w:after="200"/>
      </w:pPr>
      <w:r>
        <w:rPr>
          <w:rFonts w:ascii="Calibri" w:cs="Calibri" w:eastAsia="Calibri" w:hAnsi="Calibri"/>
          <w:sz w:val="21"/>
          <w:szCs w:val="21"/>
        </w:rPr>
        <w:t xml:space="preserve"/>
      </w:r>
    </w:p>
    <w:p>
      <w:pPr>
        <w:keepNext/>
        <w:pBdr>
          <w:bottom w:val="single" w:color="C6D2DE" w:sz="4" w:space="2"/>
        </w:pBdr>
        <w:spacing w:after="200"/>
      </w:pPr>
      <w:r>
        <w:rPr>
          <w:rFonts w:ascii="Calibri" w:cs="Calibri" w:eastAsia="Calibri" w:hAnsi="Calibri"/>
          <w:sz w:val="21"/>
          <w:szCs w:val="21"/>
        </w:rPr>
        <w:t xml:space="preserve"/>
      </w:r>
    </w:p>
    <w:p>
      <w:pPr>
        <w:keepNext w:val="false"/>
        <w:pBdr>
          <w:bottom w:val="single" w:color="C6D2DE" w:sz="4" w:space="2"/>
        </w:pBdr>
        <w:spacing w:after="200"/>
      </w:pPr>
      <w:r>
        <w:rPr>
          <w:rFonts w:ascii="Calibri" w:cs="Calibri" w:eastAsia="Calibri" w:hAnsi="Calibri"/>
          <w:sz w:val="21"/>
          <w:szCs w:val="21"/>
        </w:rPr>
        <w:t xml:space="preserve"/>
      </w:r>
    </w:p>
    <w:p>
      <w:pPr>
        <w:spacing w:after="150"/>
      </w:pPr>
    </w:p>
    <w:tbl>
      <w:tblPr>
        <w:tblW w:type="dxa" w:w="9360"/>
        <w:tblBorders>
          <w:top w:val="single" w:color="06A77D" w:sz="8"/>
          <w:left w:val="single" w:color="06A77D" w:sz="8"/>
          <w:bottom w:val="single" w:color="06A77D" w:sz="8"/>
          <w:right w:val="single" w:color="06A77D" w:sz="8"/>
          <w:insideH w:val="none"/>
          <w:insideV w:val="none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shd w:fill="F2F5F8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E2761"/>
                <w:sz w:val="21"/>
                <w:szCs w:val="21"/>
              </w:rPr>
              <w:t xml:space="preserve">Termin, o którym warto pamiętać:  </w:t>
            </w:r>
            <w:r>
              <w:rPr>
                <w:rFonts w:ascii="Calibri" w:cs="Calibri" w:eastAsia="Calibri" w:hAnsi="Calibri"/>
                <w:color w:val="333333"/>
                <w:sz w:val="21"/>
                <w:szCs w:val="21"/>
              </w:rPr>
              <w:t xml:space="preserve">Pełne wdrożenie środków z art. 8 UoKSC — 3 kwietnia 2027 r. Wniosek o wpis do wykazu — do 3 października 2026 r. Realny czas zbudowania SZBI od zera to 7–8 miesięcy. Plan na 90 dni to nie jest cały projekt, tylko jego pierwszy odcinek.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5A6B7C"/>
        <w:sz w:val="16"/>
        <w:szCs w:val="16"/>
      </w:rPr>
      <w:t xml:space="preserve">Strona </w:t>
    </w:r>
    <w:r>
      <w:rPr>
        <w:rFonts w:ascii="Calibri" w:cs="Calibri" w:eastAsia="Calibri" w:hAnsi="Calibri"/>
        <w:color w:val="5A6B7C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5A6B7C"/>
        <w:sz w:val="16"/>
        <w:szCs w:val="16"/>
      </w:rPr>
      <w:t xml:space="preserve"> z </w:t>
    </w:r>
    <w:r>
      <w:rPr>
        <w:rFonts w:ascii="Calibri" w:cs="Calibri" w:eastAsia="Calibri" w:hAnsi="Calibri"/>
        <w:color w:val="5A6B7C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6D2DE" w:sz="4" w:space="3"/>
      </w:pBdr>
      <w:spacing w:after="0"/>
      <w:jc w:val="right"/>
    </w:pPr>
    <w:r>
      <w:rPr>
        <w:rFonts w:ascii="Calibri" w:cs="Calibri" w:eastAsia="Calibri" w:hAnsi="Calibri"/>
        <w:b w:val="false"/>
        <w:bCs w:val="false"/>
        <w:color w:val="5A6B7C"/>
        <w:sz w:val="16"/>
        <w:szCs w:val="16"/>
      </w:rPr>
      <w:t xml:space="preserve">Szkolenie NIS2 / UoKSC w praktyce  ·  LT MASTERY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▪"/>
      <w:lvlJc w:val="left"/>
      <w:pPr>
        <w:ind w:left="340" w:hanging="200"/>
      </w:pPr>
      <w:rPr>
        <w:color w:val="1F6FB2"/>
      </w:rPr>
    </w:lvl>
    <w:lvl w:ilvl="1" w15:tentative="1">
      <w:start w:val="1"/>
      <w:numFmt w:val="bullet"/>
      <w:lvlText w:val="–"/>
      <w:lvlJc w:val="left"/>
      <w:pPr>
        <w:ind w:left="700" w:hanging="20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260"/>
      </w:pPr>
      <w:rPr>
        <w:b/>
        <w:bCs/>
        <w:color w:val="1E276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Ćwiczenie 6 — Plan wdrożenia na 90 dni</dc:title>
  <dc:creator>LT MASTERY Szkolenia dla Biznesu Piotr Szymczyk</dc:creator>
  <cp:lastModifiedBy>Un-named</cp:lastModifiedBy>
  <cp:revision>1</cp:revision>
  <dcterms:created xsi:type="dcterms:W3CDTF">2026-08-28T11:55:44.219Z</dcterms:created>
  <dcterms:modified xsi:type="dcterms:W3CDTF">2026-08-28T11:55:44.219Z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